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C0A4F" w14:textId="5E62030D" w:rsidR="0042445D" w:rsidRPr="0084402E" w:rsidRDefault="0084402E" w:rsidP="00D350B6">
      <w:pPr>
        <w:spacing w:before="100" w:beforeAutospacing="1" w:after="100" w:afterAutospacing="1" w:line="360" w:lineRule="auto"/>
        <w:jc w:val="right"/>
        <w:rPr>
          <w:rFonts w:ascii="Arial" w:eastAsia="Batang" w:hAnsi="Arial" w:cs="Arial"/>
          <w:b/>
          <w:sz w:val="24"/>
          <w:szCs w:val="24"/>
        </w:rPr>
      </w:pPr>
      <w:r w:rsidRPr="0084402E">
        <w:rPr>
          <w:noProof/>
          <w:sz w:val="24"/>
          <w:szCs w:val="24"/>
          <w:lang w:val="es-ES_tradnl" w:eastAsia="es-ES_tradnl"/>
        </w:rPr>
        <mc:AlternateContent>
          <mc:Choice Requires="wps">
            <w:drawing>
              <wp:anchor distT="0" distB="0" distL="114300" distR="114300" simplePos="0" relativeHeight="251659264" behindDoc="0" locked="0" layoutInCell="0" allowOverlap="1" wp14:anchorId="6CEA3E0E" wp14:editId="711BEA27">
                <wp:simplePos x="0" y="0"/>
                <wp:positionH relativeFrom="page">
                  <wp:posOffset>721995</wp:posOffset>
                </wp:positionH>
                <wp:positionV relativeFrom="page">
                  <wp:posOffset>2043430</wp:posOffset>
                </wp:positionV>
                <wp:extent cx="6552565" cy="4985385"/>
                <wp:effectExtent l="0" t="0"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2565" cy="4985385"/>
                        </a:xfrm>
                        <a:prstGeom prst="rect">
                          <a:avLst/>
                        </a:prstGeom>
                        <a:noFill/>
                        <a:ln>
                          <a:noFill/>
                        </a:ln>
                        <a:effectLst/>
                        <a:extLst/>
                      </wps:spPr>
                      <wps:txbx>
                        <w:txbxContent>
                          <w:p w14:paraId="7D82727E" w14:textId="77777777" w:rsidR="001549BC" w:rsidRPr="000253DA" w:rsidRDefault="001549BC" w:rsidP="000253DA">
                            <w:pPr>
                              <w:spacing w:after="0" w:line="240" w:lineRule="auto"/>
                              <w:jc w:val="center"/>
                              <w:rPr>
                                <w:rFonts w:ascii="Arial" w:hAnsi="Arial" w:cs="Arial"/>
                                <w:b/>
                                <w:bCs/>
                                <w:sz w:val="56"/>
                                <w:szCs w:val="52"/>
                                <w:lang w:val="es-ES"/>
                              </w:rPr>
                            </w:pPr>
                            <w:r w:rsidRPr="000253DA">
                              <w:rPr>
                                <w:rFonts w:ascii="Arial" w:hAnsi="Arial" w:cs="Arial"/>
                                <w:b/>
                                <w:bCs/>
                                <w:sz w:val="56"/>
                                <w:szCs w:val="52"/>
                                <w:lang w:val="es-ES"/>
                              </w:rPr>
                              <w:t>Secretaría Técnica del Gabinete Planeación y Evaluación</w:t>
                            </w:r>
                          </w:p>
                          <w:p w14:paraId="106F5798" w14:textId="77777777" w:rsidR="001549BC" w:rsidRDefault="001549BC" w:rsidP="00F91889">
                            <w:pPr>
                              <w:pStyle w:val="Sinespaciado"/>
                              <w:jc w:val="center"/>
                              <w:rPr>
                                <w:rFonts w:ascii="Arial" w:hAnsi="Arial" w:cs="Arial"/>
                                <w:b/>
                                <w:bCs/>
                                <w:color w:val="000000"/>
                                <w:sz w:val="56"/>
                                <w:szCs w:val="72"/>
                              </w:rPr>
                            </w:pPr>
                          </w:p>
                          <w:p w14:paraId="1A801399" w14:textId="77777777" w:rsidR="001549BC" w:rsidRPr="000871AC" w:rsidRDefault="001549BC" w:rsidP="00977B0B">
                            <w:pPr>
                              <w:pStyle w:val="Sinespaciado"/>
                              <w:rPr>
                                <w:rFonts w:ascii="Arial" w:hAnsi="Arial" w:cs="Arial"/>
                                <w:b/>
                                <w:bCs/>
                                <w:color w:val="000000"/>
                                <w:sz w:val="56"/>
                                <w:szCs w:val="72"/>
                              </w:rPr>
                            </w:pPr>
                          </w:p>
                          <w:p w14:paraId="3E7CA2F5" w14:textId="7EF30CB8" w:rsidR="001549BC" w:rsidRPr="00315EF2" w:rsidRDefault="001549BC" w:rsidP="00F91889">
                            <w:pPr>
                              <w:pStyle w:val="Sinespaciado"/>
                              <w:jc w:val="center"/>
                              <w:rPr>
                                <w:rFonts w:ascii="Arial" w:hAnsi="Arial" w:cs="Arial"/>
                                <w:b/>
                                <w:bCs/>
                                <w:sz w:val="40"/>
                                <w:szCs w:val="40"/>
                              </w:rPr>
                            </w:pPr>
                            <w:r w:rsidRPr="00315EF2">
                              <w:rPr>
                                <w:rFonts w:ascii="Arial" w:hAnsi="Arial" w:cs="Arial"/>
                                <w:b/>
                                <w:bCs/>
                                <w:sz w:val="40"/>
                                <w:szCs w:val="40"/>
                              </w:rPr>
                              <w:t>Evaluación Complementaria del Desempeño del Programa Presupuestario “Rezago Educativo” que Ejerce Recursos del Fondo de Aportaciones para la Educación Tecnológica y de Adultos (FAETA)</w:t>
                            </w:r>
                          </w:p>
                          <w:p w14:paraId="4E846AB1" w14:textId="77777777" w:rsidR="001549BC" w:rsidRDefault="001549BC" w:rsidP="00F91889">
                            <w:pPr>
                              <w:pStyle w:val="Sinespaciado"/>
                              <w:jc w:val="center"/>
                              <w:rPr>
                                <w:rFonts w:ascii="Arial" w:hAnsi="Arial" w:cs="Arial"/>
                                <w:b/>
                                <w:bCs/>
                                <w:sz w:val="40"/>
                                <w:szCs w:val="40"/>
                              </w:rPr>
                            </w:pPr>
                            <w:r w:rsidRPr="00315EF2">
                              <w:rPr>
                                <w:rFonts w:ascii="Arial" w:hAnsi="Arial" w:cs="Arial"/>
                                <w:b/>
                                <w:bCs/>
                                <w:sz w:val="40"/>
                                <w:szCs w:val="40"/>
                              </w:rPr>
                              <w:t>Subfondo: Educación para Adultos</w:t>
                            </w:r>
                          </w:p>
                          <w:p w14:paraId="3675DD2F" w14:textId="62B3176F" w:rsidR="00787BA2" w:rsidRPr="00770392" w:rsidRDefault="00787BA2" w:rsidP="00F91889">
                            <w:pPr>
                              <w:pStyle w:val="Sinespaciado"/>
                              <w:jc w:val="center"/>
                              <w:rPr>
                                <w:rFonts w:ascii="Arial" w:hAnsi="Arial" w:cs="Arial"/>
                                <w:b/>
                                <w:bCs/>
                                <w:sz w:val="40"/>
                                <w:szCs w:val="40"/>
                              </w:rPr>
                            </w:pPr>
                            <w:r>
                              <w:rPr>
                                <w:rFonts w:ascii="Arial" w:hAnsi="Arial" w:cs="Arial"/>
                                <w:b/>
                                <w:bCs/>
                                <w:sz w:val="40"/>
                                <w:szCs w:val="40"/>
                              </w:rPr>
                              <w:t>Ejercicio 2014</w:t>
                            </w:r>
                            <w:bookmarkStart w:id="0" w:name="_GoBack"/>
                            <w:bookmarkEnd w:id="0"/>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EA3E0E" id="Rectangle_x0020_26" o:spid="_x0000_s1026" style="position:absolute;left:0;text-align:left;margin-left:56.85pt;margin-top:160.9pt;width:515.95pt;height:39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" o:allowincell="f" filled="f" stroked="f">
                <v:textbox inset="14.4pt,,14.4pt">
                  <w:txbxContent>
                    <w:p w14:paraId="7D82727E" w14:textId="77777777" w:rsidR="001549BC" w:rsidRPr="000253DA" w:rsidRDefault="001549BC" w:rsidP="000253DA">
                      <w:pPr>
                        <w:spacing w:after="0" w:line="240" w:lineRule="auto"/>
                        <w:jc w:val="center"/>
                        <w:rPr>
                          <w:rFonts w:ascii="Arial" w:hAnsi="Arial" w:cs="Arial"/>
                          <w:b/>
                          <w:bCs/>
                          <w:sz w:val="56"/>
                          <w:szCs w:val="52"/>
                          <w:lang w:val="es-ES"/>
                        </w:rPr>
                      </w:pPr>
                      <w:r w:rsidRPr="000253DA">
                        <w:rPr>
                          <w:rFonts w:ascii="Arial" w:hAnsi="Arial" w:cs="Arial"/>
                          <w:b/>
                          <w:bCs/>
                          <w:sz w:val="56"/>
                          <w:szCs w:val="52"/>
                          <w:lang w:val="es-ES"/>
                        </w:rPr>
                        <w:t>Secretaría Técnica del Gabinete Planeación y Evaluación</w:t>
                      </w:r>
                    </w:p>
                    <w:p w14:paraId="106F5798" w14:textId="77777777" w:rsidR="001549BC" w:rsidRDefault="001549BC" w:rsidP="00F91889">
                      <w:pPr>
                        <w:pStyle w:val="Sinespaciado"/>
                        <w:jc w:val="center"/>
                        <w:rPr>
                          <w:rFonts w:ascii="Arial" w:hAnsi="Arial" w:cs="Arial"/>
                          <w:b/>
                          <w:bCs/>
                          <w:color w:val="000000"/>
                          <w:sz w:val="56"/>
                          <w:szCs w:val="72"/>
                        </w:rPr>
                      </w:pPr>
                    </w:p>
                    <w:p w14:paraId="1A801399" w14:textId="77777777" w:rsidR="001549BC" w:rsidRPr="000871AC" w:rsidRDefault="001549BC" w:rsidP="00977B0B">
                      <w:pPr>
                        <w:pStyle w:val="Sinespaciado"/>
                        <w:rPr>
                          <w:rFonts w:ascii="Arial" w:hAnsi="Arial" w:cs="Arial"/>
                          <w:b/>
                          <w:bCs/>
                          <w:color w:val="000000"/>
                          <w:sz w:val="56"/>
                          <w:szCs w:val="72"/>
                        </w:rPr>
                      </w:pPr>
                    </w:p>
                    <w:p w14:paraId="3E7CA2F5" w14:textId="7EF30CB8" w:rsidR="001549BC" w:rsidRPr="00315EF2" w:rsidRDefault="001549BC" w:rsidP="00F91889">
                      <w:pPr>
                        <w:pStyle w:val="Sinespaciado"/>
                        <w:jc w:val="center"/>
                        <w:rPr>
                          <w:rFonts w:ascii="Arial" w:hAnsi="Arial" w:cs="Arial"/>
                          <w:b/>
                          <w:bCs/>
                          <w:sz w:val="40"/>
                          <w:szCs w:val="40"/>
                        </w:rPr>
                      </w:pPr>
                      <w:r w:rsidRPr="00315EF2">
                        <w:rPr>
                          <w:rFonts w:ascii="Arial" w:hAnsi="Arial" w:cs="Arial"/>
                          <w:b/>
                          <w:bCs/>
                          <w:sz w:val="40"/>
                          <w:szCs w:val="40"/>
                        </w:rPr>
                        <w:t>Evaluación Complementaria del Desempeño del Programa Presupuestario “Rezago Educativo” que Ejerce Recursos del Fondo de Aportaciones para la Educación Tecnológica y de Adultos (FAETA)</w:t>
                      </w:r>
                    </w:p>
                    <w:p w14:paraId="4E846AB1" w14:textId="77777777" w:rsidR="001549BC" w:rsidRDefault="001549BC" w:rsidP="00F91889">
                      <w:pPr>
                        <w:pStyle w:val="Sinespaciado"/>
                        <w:jc w:val="center"/>
                        <w:rPr>
                          <w:rFonts w:ascii="Arial" w:hAnsi="Arial" w:cs="Arial"/>
                          <w:b/>
                          <w:bCs/>
                          <w:sz w:val="40"/>
                          <w:szCs w:val="40"/>
                        </w:rPr>
                      </w:pPr>
                      <w:r w:rsidRPr="00315EF2">
                        <w:rPr>
                          <w:rFonts w:ascii="Arial" w:hAnsi="Arial" w:cs="Arial"/>
                          <w:b/>
                          <w:bCs/>
                          <w:sz w:val="40"/>
                          <w:szCs w:val="40"/>
                        </w:rPr>
                        <w:t>Subfondo: Educación para Adultos</w:t>
                      </w:r>
                    </w:p>
                    <w:p w14:paraId="3675DD2F" w14:textId="62B3176F" w:rsidR="00787BA2" w:rsidRPr="00770392" w:rsidRDefault="00787BA2" w:rsidP="00F91889">
                      <w:pPr>
                        <w:pStyle w:val="Sinespaciado"/>
                        <w:jc w:val="center"/>
                        <w:rPr>
                          <w:rFonts w:ascii="Arial" w:hAnsi="Arial" w:cs="Arial"/>
                          <w:b/>
                          <w:bCs/>
                          <w:sz w:val="40"/>
                          <w:szCs w:val="40"/>
                        </w:rPr>
                      </w:pPr>
                      <w:r>
                        <w:rPr>
                          <w:rFonts w:ascii="Arial" w:hAnsi="Arial" w:cs="Arial"/>
                          <w:b/>
                          <w:bCs/>
                          <w:sz w:val="40"/>
                          <w:szCs w:val="40"/>
                        </w:rPr>
                        <w:t>Ejercicio 2014</w:t>
                      </w:r>
                      <w:bookmarkStart w:id="1" w:name="_GoBack"/>
                      <w:bookmarkEnd w:id="1"/>
                    </w:p>
                  </w:txbxContent>
                </v:textbox>
                <w10:wrap anchorx="page" anchory="page"/>
              </v:rect>
            </w:pict>
          </mc:Fallback>
        </mc:AlternateContent>
      </w:r>
      <w:r w:rsidR="001916E8" w:rsidRPr="0084402E">
        <w:rPr>
          <w:rFonts w:ascii="Arial" w:eastAsia="Batang" w:hAnsi="Arial" w:cs="Arial"/>
          <w:b/>
          <w:noProof/>
          <w:sz w:val="24"/>
          <w:szCs w:val="24"/>
          <w:lang w:val="es-ES_tradnl" w:eastAsia="es-ES_tradnl"/>
        </w:rPr>
        <w:drawing>
          <wp:anchor distT="0" distB="0" distL="114300" distR="114300" simplePos="0" relativeHeight="251661312" behindDoc="0" locked="0" layoutInCell="1" allowOverlap="1" wp14:anchorId="6CEC98BD" wp14:editId="4BAC7116">
            <wp:simplePos x="0" y="0"/>
            <wp:positionH relativeFrom="column">
              <wp:posOffset>-81915</wp:posOffset>
            </wp:positionH>
            <wp:positionV relativeFrom="paragraph">
              <wp:posOffset>-378460</wp:posOffset>
            </wp:positionV>
            <wp:extent cx="2339340" cy="1786255"/>
            <wp:effectExtent l="19050" t="0" r="3810" b="0"/>
            <wp:wrapSquare wrapText="bothSides"/>
            <wp:docPr id="4"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8"/>
                    <a:srcRect/>
                    <a:stretch>
                      <a:fillRect/>
                    </a:stretch>
                  </pic:blipFill>
                  <pic:spPr bwMode="auto">
                    <a:xfrm>
                      <a:off x="0" y="0"/>
                      <a:ext cx="2339340" cy="1786255"/>
                    </a:xfrm>
                    <a:prstGeom prst="rect">
                      <a:avLst/>
                    </a:prstGeom>
                    <a:noFill/>
                    <a:ln w="9525">
                      <a:noFill/>
                      <a:miter lim="800000"/>
                      <a:headEnd/>
                      <a:tailEnd/>
                    </a:ln>
                  </pic:spPr>
                </pic:pic>
              </a:graphicData>
            </a:graphic>
          </wp:anchor>
        </w:drawing>
      </w:r>
      <w:r w:rsidR="001916E8" w:rsidRPr="0084402E">
        <w:rPr>
          <w:rFonts w:ascii="Arial" w:eastAsia="Batang" w:hAnsi="Arial" w:cs="Arial"/>
          <w:b/>
          <w:noProof/>
          <w:sz w:val="24"/>
          <w:szCs w:val="24"/>
          <w:lang w:val="es-ES_tradnl" w:eastAsia="es-ES_tradnl"/>
        </w:rPr>
        <w:drawing>
          <wp:inline distT="0" distB="0" distL="0" distR="0" wp14:anchorId="317B3E85" wp14:editId="601A52E0">
            <wp:extent cx="2211572" cy="921719"/>
            <wp:effectExtent l="0" t="0" r="0" b="0"/>
            <wp:docPr id="19" name="Imagen 1" descr="C:\Users\usuario\Desktop\indetec_2025x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indetec_2025x844.gif"/>
                    <pic:cNvPicPr>
                      <a:picLocks noChangeAspect="1" noChangeArrowheads="1"/>
                    </pic:cNvPicPr>
                  </pic:nvPicPr>
                  <pic:blipFill>
                    <a:blip r:embed="rId9"/>
                    <a:srcRect/>
                    <a:stretch>
                      <a:fillRect/>
                    </a:stretch>
                  </pic:blipFill>
                  <pic:spPr bwMode="auto">
                    <a:xfrm>
                      <a:off x="0" y="0"/>
                      <a:ext cx="2215138" cy="923205"/>
                    </a:xfrm>
                    <a:prstGeom prst="rect">
                      <a:avLst/>
                    </a:prstGeom>
                    <a:noFill/>
                    <a:ln w="9525">
                      <a:noFill/>
                      <a:miter lim="800000"/>
                      <a:headEnd/>
                      <a:tailEnd/>
                    </a:ln>
                  </pic:spPr>
                </pic:pic>
              </a:graphicData>
            </a:graphic>
          </wp:inline>
        </w:drawing>
      </w:r>
    </w:p>
    <w:p w14:paraId="22F424D6" w14:textId="77777777" w:rsidR="00F91889" w:rsidRPr="0084402E" w:rsidRDefault="00F91889" w:rsidP="004C0514">
      <w:pPr>
        <w:spacing w:before="100" w:beforeAutospacing="1" w:after="120" w:afterAutospacing="1" w:line="360" w:lineRule="auto"/>
        <w:jc w:val="both"/>
        <w:rPr>
          <w:rFonts w:ascii="Arial" w:eastAsia="Batang" w:hAnsi="Arial" w:cs="Arial"/>
          <w:b/>
          <w:sz w:val="24"/>
          <w:szCs w:val="24"/>
        </w:rPr>
      </w:pPr>
    </w:p>
    <w:p w14:paraId="0B35D8B3" w14:textId="787C94B6" w:rsidR="00F91889" w:rsidRPr="0084402E" w:rsidRDefault="00F91889" w:rsidP="004C0514">
      <w:pPr>
        <w:spacing w:before="100" w:beforeAutospacing="1" w:after="120" w:afterAutospacing="1" w:line="360" w:lineRule="auto"/>
        <w:jc w:val="both"/>
        <w:rPr>
          <w:rFonts w:ascii="Arial" w:eastAsia="Batang" w:hAnsi="Arial" w:cs="Arial"/>
          <w:b/>
          <w:sz w:val="24"/>
          <w:szCs w:val="24"/>
        </w:rPr>
      </w:pPr>
    </w:p>
    <w:p w14:paraId="2BC702ED" w14:textId="77777777" w:rsidR="00F91889" w:rsidRPr="0084402E" w:rsidRDefault="00F91889" w:rsidP="004C0514">
      <w:pPr>
        <w:spacing w:before="100" w:beforeAutospacing="1" w:after="120" w:afterAutospacing="1" w:line="360" w:lineRule="auto"/>
        <w:jc w:val="both"/>
        <w:rPr>
          <w:rFonts w:ascii="Arial" w:eastAsia="Batang" w:hAnsi="Arial" w:cs="Arial"/>
          <w:b/>
          <w:sz w:val="24"/>
          <w:szCs w:val="24"/>
        </w:rPr>
      </w:pPr>
    </w:p>
    <w:p w14:paraId="0CC804E9" w14:textId="77777777" w:rsidR="00F91889" w:rsidRPr="0084402E" w:rsidRDefault="00F91889" w:rsidP="004C0514">
      <w:pPr>
        <w:spacing w:before="100" w:beforeAutospacing="1" w:after="120" w:afterAutospacing="1" w:line="360" w:lineRule="auto"/>
        <w:jc w:val="both"/>
        <w:rPr>
          <w:rFonts w:ascii="Arial" w:eastAsia="Batang" w:hAnsi="Arial" w:cs="Arial"/>
          <w:b/>
          <w:sz w:val="24"/>
          <w:szCs w:val="24"/>
        </w:rPr>
      </w:pPr>
    </w:p>
    <w:p w14:paraId="707104B5" w14:textId="77777777" w:rsidR="00F91889" w:rsidRPr="0084402E" w:rsidRDefault="00F91889" w:rsidP="004C0514">
      <w:pPr>
        <w:spacing w:before="100" w:beforeAutospacing="1" w:after="120" w:afterAutospacing="1" w:line="360" w:lineRule="auto"/>
        <w:jc w:val="both"/>
        <w:rPr>
          <w:rFonts w:ascii="Arial" w:eastAsia="Batang" w:hAnsi="Arial" w:cs="Arial"/>
          <w:b/>
          <w:sz w:val="24"/>
          <w:szCs w:val="24"/>
        </w:rPr>
      </w:pPr>
    </w:p>
    <w:p w14:paraId="3ACE7815" w14:textId="77777777" w:rsidR="00F91889" w:rsidRPr="0084402E" w:rsidRDefault="00F91889" w:rsidP="004C0514">
      <w:pPr>
        <w:spacing w:before="100" w:beforeAutospacing="1" w:after="120" w:afterAutospacing="1" w:line="360" w:lineRule="auto"/>
        <w:jc w:val="both"/>
        <w:rPr>
          <w:rFonts w:ascii="Arial" w:eastAsia="Batang" w:hAnsi="Arial" w:cs="Arial"/>
          <w:b/>
          <w:sz w:val="24"/>
          <w:szCs w:val="24"/>
        </w:rPr>
      </w:pPr>
    </w:p>
    <w:p w14:paraId="1DE19FDD" w14:textId="77777777" w:rsidR="00F91889" w:rsidRPr="0084402E" w:rsidRDefault="00F91889" w:rsidP="004C0514">
      <w:pPr>
        <w:spacing w:before="100" w:beforeAutospacing="1" w:after="120" w:afterAutospacing="1" w:line="360" w:lineRule="auto"/>
        <w:jc w:val="both"/>
        <w:rPr>
          <w:rFonts w:ascii="Arial" w:eastAsia="Batang" w:hAnsi="Arial" w:cs="Arial"/>
          <w:b/>
          <w:sz w:val="24"/>
          <w:szCs w:val="24"/>
        </w:rPr>
      </w:pPr>
    </w:p>
    <w:p w14:paraId="73BE99C7" w14:textId="77777777" w:rsidR="00F91889" w:rsidRPr="0084402E" w:rsidRDefault="00F91889" w:rsidP="004C0514">
      <w:pPr>
        <w:spacing w:before="100" w:beforeAutospacing="1" w:after="120" w:afterAutospacing="1" w:line="360" w:lineRule="auto"/>
        <w:jc w:val="both"/>
        <w:rPr>
          <w:rFonts w:ascii="Arial" w:eastAsia="Batang" w:hAnsi="Arial" w:cs="Arial"/>
          <w:b/>
          <w:sz w:val="24"/>
          <w:szCs w:val="24"/>
        </w:rPr>
      </w:pPr>
    </w:p>
    <w:p w14:paraId="721E65D8" w14:textId="77777777" w:rsidR="00F91889" w:rsidRPr="0084402E" w:rsidRDefault="00F91889" w:rsidP="004C0514">
      <w:pPr>
        <w:spacing w:before="100" w:beforeAutospacing="1" w:after="120" w:afterAutospacing="1" w:line="360" w:lineRule="auto"/>
        <w:jc w:val="both"/>
        <w:rPr>
          <w:rFonts w:ascii="Arial" w:eastAsia="Batang" w:hAnsi="Arial" w:cs="Arial"/>
          <w:b/>
          <w:sz w:val="24"/>
          <w:szCs w:val="24"/>
        </w:rPr>
      </w:pPr>
    </w:p>
    <w:p w14:paraId="133607BB" w14:textId="77777777" w:rsidR="00F91889" w:rsidRPr="0084402E" w:rsidRDefault="00F91889" w:rsidP="004C0514">
      <w:pPr>
        <w:spacing w:before="100" w:beforeAutospacing="1" w:after="120" w:afterAutospacing="1" w:line="360" w:lineRule="auto"/>
        <w:jc w:val="both"/>
        <w:rPr>
          <w:rFonts w:ascii="Arial" w:eastAsia="Batang" w:hAnsi="Arial" w:cs="Arial"/>
          <w:b/>
          <w:sz w:val="24"/>
          <w:szCs w:val="24"/>
        </w:rPr>
      </w:pPr>
    </w:p>
    <w:p w14:paraId="1AD358F1" w14:textId="77777777" w:rsidR="00F91889" w:rsidRPr="0084402E" w:rsidRDefault="00F91889" w:rsidP="004C0514">
      <w:pPr>
        <w:spacing w:before="100" w:beforeAutospacing="1" w:after="120" w:afterAutospacing="1" w:line="360" w:lineRule="auto"/>
        <w:jc w:val="both"/>
        <w:rPr>
          <w:rFonts w:ascii="Arial" w:eastAsia="Batang" w:hAnsi="Arial" w:cs="Arial"/>
          <w:b/>
          <w:sz w:val="24"/>
          <w:szCs w:val="24"/>
        </w:rPr>
      </w:pPr>
    </w:p>
    <w:p w14:paraId="3907DE62" w14:textId="77777777" w:rsidR="00F91889" w:rsidRPr="0084402E" w:rsidRDefault="00F91889" w:rsidP="004C0514">
      <w:pPr>
        <w:spacing w:before="100" w:beforeAutospacing="1" w:after="100" w:afterAutospacing="1" w:line="360" w:lineRule="auto"/>
        <w:jc w:val="both"/>
        <w:rPr>
          <w:rFonts w:ascii="Arial" w:eastAsiaTheme="minorEastAsia" w:hAnsi="Arial" w:cs="Arial"/>
          <w:sz w:val="24"/>
          <w:szCs w:val="24"/>
        </w:rPr>
      </w:pPr>
    </w:p>
    <w:p w14:paraId="7DEB1E5A" w14:textId="77777777" w:rsidR="00332B09" w:rsidRPr="0084402E" w:rsidRDefault="00332B09" w:rsidP="004C0514">
      <w:pPr>
        <w:spacing w:after="0" w:line="240" w:lineRule="auto"/>
        <w:rPr>
          <w:rFonts w:ascii="Arial" w:eastAsiaTheme="minorEastAsia" w:hAnsi="Arial" w:cs="Arial"/>
          <w:sz w:val="24"/>
          <w:szCs w:val="24"/>
        </w:rPr>
      </w:pPr>
    </w:p>
    <w:p w14:paraId="3FF87136" w14:textId="77777777" w:rsidR="00332B09" w:rsidRPr="0084402E" w:rsidRDefault="00332B09" w:rsidP="004C0514">
      <w:pPr>
        <w:spacing w:after="0" w:line="240" w:lineRule="auto"/>
        <w:rPr>
          <w:rFonts w:ascii="Arial" w:eastAsiaTheme="minorEastAsia" w:hAnsi="Arial" w:cs="Arial"/>
          <w:sz w:val="24"/>
          <w:szCs w:val="24"/>
        </w:rPr>
      </w:pPr>
    </w:p>
    <w:p w14:paraId="391BEAAD" w14:textId="77777777" w:rsidR="00332B09" w:rsidRPr="0084402E" w:rsidRDefault="00332B09" w:rsidP="004C0514">
      <w:pPr>
        <w:spacing w:after="0" w:line="240" w:lineRule="auto"/>
        <w:rPr>
          <w:rFonts w:ascii="Arial" w:eastAsiaTheme="minorEastAsia" w:hAnsi="Arial" w:cs="Arial"/>
          <w:sz w:val="24"/>
          <w:szCs w:val="24"/>
        </w:rPr>
      </w:pPr>
    </w:p>
    <w:p w14:paraId="7F06C250" w14:textId="77777777" w:rsidR="00332B09" w:rsidRPr="0084402E" w:rsidRDefault="00332B09" w:rsidP="004C0514">
      <w:pPr>
        <w:spacing w:after="0" w:line="240" w:lineRule="auto"/>
        <w:rPr>
          <w:rFonts w:ascii="Arial" w:eastAsiaTheme="minorEastAsia" w:hAnsi="Arial" w:cs="Arial"/>
          <w:sz w:val="24"/>
          <w:szCs w:val="24"/>
        </w:rPr>
      </w:pPr>
    </w:p>
    <w:p w14:paraId="4159849A" w14:textId="77777777" w:rsidR="00770392" w:rsidRPr="0084402E" w:rsidRDefault="00770392" w:rsidP="004C0514">
      <w:pPr>
        <w:spacing w:after="0" w:line="240" w:lineRule="auto"/>
        <w:rPr>
          <w:rFonts w:ascii="Arial" w:eastAsiaTheme="minorEastAsia" w:hAnsi="Arial" w:cs="Arial"/>
          <w:sz w:val="24"/>
          <w:szCs w:val="24"/>
        </w:rPr>
      </w:pPr>
    </w:p>
    <w:p w14:paraId="2240E66F" w14:textId="77777777" w:rsidR="00770392" w:rsidRPr="0084402E" w:rsidRDefault="00770392" w:rsidP="004C0514">
      <w:pPr>
        <w:spacing w:after="0" w:line="240" w:lineRule="auto"/>
        <w:rPr>
          <w:rFonts w:ascii="Arial" w:eastAsiaTheme="minorEastAsia" w:hAnsi="Arial" w:cs="Arial"/>
          <w:sz w:val="24"/>
          <w:szCs w:val="24"/>
        </w:rPr>
      </w:pPr>
    </w:p>
    <w:p w14:paraId="2ED4E5AD" w14:textId="77777777" w:rsidR="00770392" w:rsidRPr="0084402E" w:rsidRDefault="00770392" w:rsidP="004C0514">
      <w:pPr>
        <w:spacing w:after="0" w:line="240" w:lineRule="auto"/>
        <w:rPr>
          <w:rFonts w:ascii="Arial" w:eastAsiaTheme="minorEastAsia" w:hAnsi="Arial" w:cs="Arial"/>
          <w:sz w:val="24"/>
          <w:szCs w:val="24"/>
        </w:rPr>
      </w:pPr>
    </w:p>
    <w:p w14:paraId="387BDDEA" w14:textId="77777777" w:rsidR="00770392" w:rsidRPr="0084402E" w:rsidRDefault="00770392" w:rsidP="004C0514">
      <w:pPr>
        <w:spacing w:after="0" w:line="240" w:lineRule="auto"/>
        <w:rPr>
          <w:rFonts w:ascii="Arial" w:eastAsiaTheme="minorEastAsia" w:hAnsi="Arial" w:cs="Arial"/>
          <w:sz w:val="24"/>
          <w:szCs w:val="24"/>
        </w:rPr>
      </w:pPr>
    </w:p>
    <w:p w14:paraId="02FD191A" w14:textId="77777777" w:rsidR="00770392" w:rsidRPr="0084402E" w:rsidRDefault="00770392" w:rsidP="004C0514">
      <w:pPr>
        <w:spacing w:after="0" w:line="240" w:lineRule="auto"/>
        <w:rPr>
          <w:rFonts w:ascii="Arial" w:eastAsiaTheme="minorEastAsia" w:hAnsi="Arial" w:cs="Arial"/>
          <w:sz w:val="24"/>
          <w:szCs w:val="24"/>
        </w:rPr>
      </w:pPr>
    </w:p>
    <w:p w14:paraId="42B8ABAC" w14:textId="77777777" w:rsidR="00770392" w:rsidRPr="0084402E" w:rsidRDefault="00770392" w:rsidP="004C0514">
      <w:pPr>
        <w:spacing w:after="0" w:line="240" w:lineRule="auto"/>
        <w:rPr>
          <w:rFonts w:ascii="Arial" w:eastAsiaTheme="minorEastAsia" w:hAnsi="Arial" w:cs="Arial"/>
          <w:sz w:val="24"/>
          <w:szCs w:val="24"/>
        </w:rPr>
      </w:pPr>
    </w:p>
    <w:p w14:paraId="419ECC4A" w14:textId="77777777" w:rsidR="00770392" w:rsidRPr="0084402E" w:rsidRDefault="00770392" w:rsidP="004C0514">
      <w:pPr>
        <w:spacing w:after="0" w:line="240" w:lineRule="auto"/>
        <w:rPr>
          <w:rFonts w:ascii="Arial" w:eastAsiaTheme="minorEastAsia" w:hAnsi="Arial" w:cs="Arial"/>
          <w:sz w:val="24"/>
          <w:szCs w:val="24"/>
        </w:rPr>
      </w:pPr>
    </w:p>
    <w:p w14:paraId="1EFCCA63" w14:textId="77777777" w:rsidR="00332B09" w:rsidRPr="0084402E" w:rsidRDefault="00332B09" w:rsidP="004C0514">
      <w:pPr>
        <w:spacing w:after="0" w:line="240" w:lineRule="auto"/>
        <w:rPr>
          <w:rFonts w:ascii="Arial" w:eastAsiaTheme="minorEastAsia" w:hAnsi="Arial" w:cs="Arial"/>
          <w:sz w:val="24"/>
          <w:szCs w:val="24"/>
        </w:rPr>
      </w:pPr>
    </w:p>
    <w:p w14:paraId="62ECF465" w14:textId="77777777" w:rsidR="00D350B6" w:rsidRPr="0084402E" w:rsidRDefault="00E63324" w:rsidP="00D350B6">
      <w:pPr>
        <w:spacing w:after="0" w:line="360" w:lineRule="auto"/>
        <w:contextualSpacing/>
        <w:jc w:val="both"/>
        <w:rPr>
          <w:rFonts w:ascii="Arial" w:eastAsiaTheme="minorEastAsia" w:hAnsi="Arial" w:cs="Arial"/>
          <w:sz w:val="24"/>
          <w:szCs w:val="24"/>
        </w:rPr>
      </w:pPr>
      <w:r w:rsidRPr="0084402E">
        <w:rPr>
          <w:rFonts w:ascii="Arial" w:eastAsiaTheme="minorEastAsia" w:hAnsi="Arial" w:cs="Arial"/>
          <w:b/>
          <w:sz w:val="24"/>
          <w:szCs w:val="24"/>
        </w:rPr>
        <w:t>RESUMEN EJECUTIVO</w:t>
      </w:r>
      <w:r w:rsidR="00BD3316" w:rsidRPr="0084402E">
        <w:rPr>
          <w:rFonts w:ascii="Arial" w:eastAsiaTheme="minorEastAsia" w:hAnsi="Arial" w:cs="Arial"/>
          <w:b/>
          <w:sz w:val="24"/>
          <w:szCs w:val="24"/>
        </w:rPr>
        <w:t xml:space="preserve"> </w:t>
      </w:r>
    </w:p>
    <w:p w14:paraId="3768A045" w14:textId="23B3EFF6" w:rsidR="00D942A6" w:rsidRPr="0084402E" w:rsidRDefault="00D942A6" w:rsidP="00D350B6">
      <w:pPr>
        <w:spacing w:after="0" w:line="360" w:lineRule="auto"/>
        <w:contextualSpacing/>
        <w:jc w:val="both"/>
        <w:rPr>
          <w:rFonts w:ascii="Arial" w:eastAsiaTheme="minorEastAsia" w:hAnsi="Arial" w:cs="Arial"/>
          <w:sz w:val="24"/>
          <w:szCs w:val="24"/>
        </w:rPr>
      </w:pPr>
      <w:r w:rsidRPr="0084402E">
        <w:rPr>
          <w:rFonts w:ascii="Arial" w:eastAsiaTheme="minorEastAsia" w:hAnsi="Arial" w:cs="Arial"/>
          <w:sz w:val="24"/>
          <w:szCs w:val="24"/>
        </w:rPr>
        <w:t>Se evaluaron los programas</w:t>
      </w:r>
      <w:r w:rsidR="008D3794" w:rsidRPr="0084402E">
        <w:rPr>
          <w:rFonts w:ascii="Arial" w:eastAsiaTheme="minorEastAsia" w:hAnsi="Arial" w:cs="Arial"/>
          <w:sz w:val="24"/>
          <w:szCs w:val="24"/>
        </w:rPr>
        <w:t xml:space="preserve"> que ejercen recursos del subfondo de Educación para Adultos de</w:t>
      </w:r>
      <w:r w:rsidR="009E522D" w:rsidRPr="0084402E">
        <w:rPr>
          <w:rFonts w:ascii="Arial" w:eastAsiaTheme="minorEastAsia" w:hAnsi="Arial" w:cs="Arial"/>
          <w:sz w:val="24"/>
          <w:szCs w:val="24"/>
        </w:rPr>
        <w:t>l</w:t>
      </w:r>
      <w:r w:rsidR="008D3794" w:rsidRPr="0084402E">
        <w:rPr>
          <w:rFonts w:ascii="Arial" w:eastAsiaTheme="minorEastAsia" w:hAnsi="Arial" w:cs="Arial"/>
          <w:sz w:val="24"/>
          <w:szCs w:val="24"/>
        </w:rPr>
        <w:t xml:space="preserve"> Fondo de Aportaciones para la Educación Tecnol</w:t>
      </w:r>
      <w:r w:rsidR="00947B8B" w:rsidRPr="0084402E">
        <w:rPr>
          <w:rFonts w:ascii="Arial" w:eastAsiaTheme="minorEastAsia" w:hAnsi="Arial" w:cs="Arial"/>
          <w:sz w:val="24"/>
          <w:szCs w:val="24"/>
        </w:rPr>
        <w:t>ógica y de Adultos (FAETA)</w:t>
      </w:r>
      <w:r w:rsidR="008D3794" w:rsidRPr="0084402E">
        <w:rPr>
          <w:rFonts w:ascii="Arial" w:eastAsiaTheme="minorEastAsia" w:hAnsi="Arial" w:cs="Arial"/>
          <w:sz w:val="24"/>
          <w:szCs w:val="24"/>
        </w:rPr>
        <w:t xml:space="preserve"> en el estado de Yucatán, a decir: el programa presupuestario </w:t>
      </w:r>
      <w:r w:rsidR="00D00CB4">
        <w:rPr>
          <w:rFonts w:ascii="Arial" w:eastAsiaTheme="minorEastAsia" w:hAnsi="Arial" w:cs="Arial"/>
          <w:sz w:val="24"/>
          <w:szCs w:val="24"/>
        </w:rPr>
        <w:t>e</w:t>
      </w:r>
      <w:r w:rsidR="008D3794" w:rsidRPr="0084402E">
        <w:rPr>
          <w:rFonts w:ascii="Arial" w:eastAsiaTheme="minorEastAsia" w:hAnsi="Arial" w:cs="Arial"/>
          <w:sz w:val="24"/>
          <w:szCs w:val="24"/>
        </w:rPr>
        <w:t xml:space="preserve">statal Rezago Educativo </w:t>
      </w:r>
      <w:r w:rsidR="00B20E68" w:rsidRPr="0084402E">
        <w:rPr>
          <w:rFonts w:ascii="Arial" w:eastAsiaTheme="minorEastAsia" w:hAnsi="Arial" w:cs="Arial"/>
          <w:sz w:val="24"/>
          <w:szCs w:val="24"/>
        </w:rPr>
        <w:t>y  su programa institucional complementario Gestión del Sistema Educativo</w:t>
      </w:r>
      <w:r w:rsidR="00947B8B" w:rsidRPr="0084402E">
        <w:rPr>
          <w:rFonts w:ascii="Arial" w:eastAsiaTheme="minorEastAsia" w:hAnsi="Arial" w:cs="Arial"/>
          <w:sz w:val="24"/>
          <w:szCs w:val="24"/>
        </w:rPr>
        <w:t>,</w:t>
      </w:r>
      <w:r w:rsidR="00450E87" w:rsidRPr="0084402E">
        <w:rPr>
          <w:rFonts w:ascii="Arial" w:eastAsiaTheme="minorEastAsia" w:hAnsi="Arial" w:cs="Arial"/>
          <w:sz w:val="24"/>
          <w:szCs w:val="24"/>
        </w:rPr>
        <w:t xml:space="preserve"> en el ejercicio 2014,</w:t>
      </w:r>
      <w:r w:rsidR="00B20E68" w:rsidRPr="0084402E">
        <w:rPr>
          <w:rFonts w:ascii="Arial" w:eastAsiaTheme="minorEastAsia" w:hAnsi="Arial" w:cs="Arial"/>
          <w:sz w:val="24"/>
          <w:szCs w:val="24"/>
        </w:rPr>
        <w:t xml:space="preserve"> con el fin de verificar el </w:t>
      </w:r>
      <w:r w:rsidRPr="0084402E">
        <w:rPr>
          <w:rFonts w:ascii="Arial" w:eastAsiaTheme="minorEastAsia" w:hAnsi="Arial" w:cs="Arial"/>
          <w:sz w:val="24"/>
          <w:szCs w:val="24"/>
        </w:rPr>
        <w:t>cumplimiento de objetivos y metas, y la orientación de los recursos, a fin de que los resultados de este análisis p</w:t>
      </w:r>
      <w:r w:rsidR="0062385F" w:rsidRPr="0084402E">
        <w:rPr>
          <w:rFonts w:ascii="Arial" w:eastAsiaTheme="minorEastAsia" w:hAnsi="Arial" w:cs="Arial"/>
          <w:sz w:val="24"/>
          <w:szCs w:val="24"/>
        </w:rPr>
        <w:t>rovean información que coadyuve</w:t>
      </w:r>
      <w:r w:rsidRPr="0084402E">
        <w:rPr>
          <w:rFonts w:ascii="Arial" w:eastAsiaTheme="minorEastAsia" w:hAnsi="Arial" w:cs="Arial"/>
          <w:sz w:val="24"/>
          <w:szCs w:val="24"/>
        </w:rPr>
        <w:t xml:space="preserve"> a mejorar su eficacia y eficiencia.</w:t>
      </w:r>
    </w:p>
    <w:p w14:paraId="43D9437E" w14:textId="77777777" w:rsidR="00B20E68" w:rsidRPr="0084402E" w:rsidRDefault="00B20E68" w:rsidP="00D350B6">
      <w:pPr>
        <w:spacing w:after="0" w:line="360" w:lineRule="auto"/>
        <w:contextualSpacing/>
        <w:jc w:val="both"/>
        <w:rPr>
          <w:rFonts w:ascii="Arial" w:eastAsiaTheme="minorEastAsia" w:hAnsi="Arial" w:cs="Arial"/>
          <w:sz w:val="24"/>
          <w:szCs w:val="24"/>
        </w:rPr>
      </w:pPr>
    </w:p>
    <w:p w14:paraId="00FF1D1B" w14:textId="490983D6" w:rsidR="0061752C" w:rsidRPr="0084402E" w:rsidRDefault="00B20E68" w:rsidP="00D350B6">
      <w:pPr>
        <w:spacing w:after="0" w:line="360" w:lineRule="auto"/>
        <w:contextualSpacing/>
        <w:jc w:val="both"/>
        <w:rPr>
          <w:rFonts w:ascii="Arial" w:eastAsiaTheme="minorEastAsia" w:hAnsi="Arial" w:cs="Arial"/>
          <w:sz w:val="24"/>
          <w:szCs w:val="24"/>
        </w:rPr>
      </w:pPr>
      <w:r w:rsidRPr="0084402E">
        <w:rPr>
          <w:rFonts w:ascii="Arial" w:eastAsiaTheme="minorEastAsia" w:hAnsi="Arial" w:cs="Arial"/>
          <w:sz w:val="24"/>
          <w:szCs w:val="24"/>
        </w:rPr>
        <w:t xml:space="preserve">La </w:t>
      </w:r>
      <w:r w:rsidR="0062385F" w:rsidRPr="0084402E">
        <w:rPr>
          <w:rFonts w:ascii="Arial" w:eastAsiaTheme="minorEastAsia" w:hAnsi="Arial" w:cs="Arial"/>
          <w:sz w:val="24"/>
          <w:szCs w:val="24"/>
        </w:rPr>
        <w:t>presente</w:t>
      </w:r>
      <w:r w:rsidR="00232A71" w:rsidRPr="0084402E">
        <w:rPr>
          <w:rFonts w:ascii="Arial" w:eastAsiaTheme="minorEastAsia" w:hAnsi="Arial" w:cs="Arial"/>
          <w:sz w:val="24"/>
          <w:szCs w:val="24"/>
        </w:rPr>
        <w:t xml:space="preserve"> es</w:t>
      </w:r>
      <w:r w:rsidRPr="0084402E">
        <w:rPr>
          <w:rFonts w:ascii="Arial" w:eastAsiaTheme="minorEastAsia" w:hAnsi="Arial" w:cs="Arial"/>
          <w:sz w:val="24"/>
          <w:szCs w:val="24"/>
        </w:rPr>
        <w:t xml:space="preserve"> una evaluación</w:t>
      </w:r>
      <w:r w:rsidR="00232A71" w:rsidRPr="0084402E">
        <w:rPr>
          <w:rFonts w:ascii="Arial" w:eastAsiaTheme="minorEastAsia" w:hAnsi="Arial" w:cs="Arial"/>
          <w:sz w:val="24"/>
          <w:szCs w:val="24"/>
        </w:rPr>
        <w:t xml:space="preserve"> </w:t>
      </w:r>
      <w:r w:rsidRPr="0084402E">
        <w:rPr>
          <w:rFonts w:ascii="Arial" w:eastAsiaTheme="minorEastAsia" w:hAnsi="Arial" w:cs="Arial"/>
          <w:sz w:val="24"/>
          <w:szCs w:val="24"/>
        </w:rPr>
        <w:t>complementaria</w:t>
      </w:r>
      <w:r w:rsidR="00575443" w:rsidRPr="0084402E">
        <w:rPr>
          <w:rFonts w:ascii="Arial" w:eastAsiaTheme="minorEastAsia" w:hAnsi="Arial" w:cs="Arial"/>
          <w:sz w:val="24"/>
          <w:szCs w:val="24"/>
        </w:rPr>
        <w:t xml:space="preserve"> </w:t>
      </w:r>
      <w:r w:rsidR="009E522D" w:rsidRPr="0084402E">
        <w:rPr>
          <w:rFonts w:ascii="Arial" w:eastAsiaTheme="minorEastAsia" w:hAnsi="Arial" w:cs="Arial"/>
          <w:sz w:val="24"/>
          <w:szCs w:val="24"/>
        </w:rPr>
        <w:t xml:space="preserve">a </w:t>
      </w:r>
      <w:r w:rsidR="00575443" w:rsidRPr="0084402E">
        <w:rPr>
          <w:rFonts w:ascii="Arial" w:eastAsiaTheme="minorEastAsia" w:hAnsi="Arial" w:cs="Arial"/>
          <w:sz w:val="24"/>
          <w:szCs w:val="24"/>
        </w:rPr>
        <w:t>la Evaluación Estratégica de Consistencia y Resultados</w:t>
      </w:r>
      <w:r w:rsidRPr="0084402E">
        <w:rPr>
          <w:rFonts w:ascii="Arial" w:eastAsiaTheme="minorEastAsia" w:hAnsi="Arial" w:cs="Arial"/>
          <w:sz w:val="24"/>
          <w:szCs w:val="24"/>
        </w:rPr>
        <w:t xml:space="preserve"> </w:t>
      </w:r>
      <w:r w:rsidR="00575443" w:rsidRPr="0084402E">
        <w:rPr>
          <w:rFonts w:ascii="Arial" w:eastAsiaTheme="minorEastAsia" w:hAnsi="Arial" w:cs="Arial"/>
          <w:sz w:val="24"/>
          <w:szCs w:val="24"/>
        </w:rPr>
        <w:t xml:space="preserve">realizada </w:t>
      </w:r>
      <w:r w:rsidR="00232A71" w:rsidRPr="0084402E">
        <w:rPr>
          <w:rFonts w:ascii="Arial" w:eastAsiaTheme="minorEastAsia" w:hAnsi="Arial" w:cs="Arial"/>
          <w:sz w:val="24"/>
          <w:szCs w:val="24"/>
        </w:rPr>
        <w:t>en</w:t>
      </w:r>
      <w:r w:rsidR="00575443" w:rsidRPr="0084402E">
        <w:rPr>
          <w:rFonts w:ascii="Arial" w:eastAsiaTheme="minorEastAsia" w:hAnsi="Arial" w:cs="Arial"/>
          <w:sz w:val="24"/>
          <w:szCs w:val="24"/>
        </w:rPr>
        <w:t xml:space="preserve"> el </w:t>
      </w:r>
      <w:r w:rsidR="00232A71" w:rsidRPr="0084402E">
        <w:rPr>
          <w:rFonts w:ascii="Arial" w:eastAsiaTheme="minorEastAsia" w:hAnsi="Arial" w:cs="Arial"/>
          <w:sz w:val="24"/>
          <w:szCs w:val="24"/>
        </w:rPr>
        <w:t>PAE</w:t>
      </w:r>
      <w:r w:rsidR="00575443" w:rsidRPr="0084402E">
        <w:rPr>
          <w:rFonts w:ascii="Arial" w:eastAsiaTheme="minorEastAsia" w:hAnsi="Arial" w:cs="Arial"/>
          <w:sz w:val="24"/>
          <w:szCs w:val="24"/>
        </w:rPr>
        <w:t xml:space="preserve"> </w:t>
      </w:r>
      <w:r w:rsidR="00232A71" w:rsidRPr="0084402E">
        <w:rPr>
          <w:rFonts w:ascii="Arial" w:eastAsiaTheme="minorEastAsia" w:hAnsi="Arial" w:cs="Arial"/>
          <w:sz w:val="24"/>
          <w:szCs w:val="24"/>
        </w:rPr>
        <w:t>2013</w:t>
      </w:r>
      <w:r w:rsidR="0062385F" w:rsidRPr="0084402E">
        <w:rPr>
          <w:rFonts w:ascii="Arial" w:eastAsiaTheme="minorEastAsia" w:hAnsi="Arial" w:cs="Arial"/>
          <w:sz w:val="24"/>
          <w:szCs w:val="24"/>
        </w:rPr>
        <w:t>;</w:t>
      </w:r>
      <w:r w:rsidR="00575443" w:rsidRPr="0084402E">
        <w:rPr>
          <w:rFonts w:ascii="Arial" w:eastAsiaTheme="minorEastAsia" w:hAnsi="Arial" w:cs="Arial"/>
          <w:sz w:val="24"/>
          <w:szCs w:val="24"/>
        </w:rPr>
        <w:t xml:space="preserve"> </w:t>
      </w:r>
      <w:r w:rsidR="00232A71" w:rsidRPr="0084402E">
        <w:rPr>
          <w:rFonts w:ascii="Arial" w:eastAsiaTheme="minorEastAsia" w:hAnsi="Arial" w:cs="Arial"/>
          <w:sz w:val="24"/>
          <w:szCs w:val="24"/>
        </w:rPr>
        <w:t xml:space="preserve">se </w:t>
      </w:r>
      <w:r w:rsidRPr="0084402E">
        <w:rPr>
          <w:rFonts w:ascii="Arial" w:eastAsiaTheme="minorEastAsia" w:hAnsi="Arial" w:cs="Arial"/>
          <w:sz w:val="24"/>
          <w:szCs w:val="24"/>
        </w:rPr>
        <w:t>bas</w:t>
      </w:r>
      <w:r w:rsidR="0062385F" w:rsidRPr="0084402E">
        <w:rPr>
          <w:rFonts w:ascii="Arial" w:eastAsiaTheme="minorEastAsia" w:hAnsi="Arial" w:cs="Arial"/>
          <w:sz w:val="24"/>
          <w:szCs w:val="24"/>
        </w:rPr>
        <w:t>ó</w:t>
      </w:r>
      <w:r w:rsidRPr="0084402E">
        <w:rPr>
          <w:rFonts w:ascii="Arial" w:eastAsiaTheme="minorEastAsia" w:hAnsi="Arial" w:cs="Arial"/>
          <w:sz w:val="24"/>
          <w:szCs w:val="24"/>
        </w:rPr>
        <w:t xml:space="preserve"> en un </w:t>
      </w:r>
      <w:r w:rsidR="0061752C" w:rsidRPr="0084402E">
        <w:rPr>
          <w:rFonts w:ascii="Arial" w:eastAsiaTheme="minorEastAsia" w:hAnsi="Arial" w:cs="Arial"/>
          <w:sz w:val="24"/>
          <w:szCs w:val="24"/>
        </w:rPr>
        <w:t>análisis de gabinete</w:t>
      </w:r>
      <w:r w:rsidR="00232A71" w:rsidRPr="0084402E">
        <w:rPr>
          <w:rFonts w:ascii="Arial" w:eastAsiaTheme="minorEastAsia" w:hAnsi="Arial" w:cs="Arial"/>
          <w:sz w:val="24"/>
          <w:szCs w:val="24"/>
        </w:rPr>
        <w:t xml:space="preserve"> con</w:t>
      </w:r>
      <w:r w:rsidR="0061752C" w:rsidRPr="0084402E">
        <w:rPr>
          <w:rFonts w:ascii="Arial" w:eastAsiaTheme="minorEastAsia" w:hAnsi="Arial" w:cs="Arial"/>
          <w:sz w:val="24"/>
          <w:szCs w:val="24"/>
        </w:rPr>
        <w:t xml:space="preserve"> </w:t>
      </w:r>
      <w:r w:rsidRPr="0084402E">
        <w:rPr>
          <w:rFonts w:ascii="Arial" w:eastAsiaTheme="minorEastAsia" w:hAnsi="Arial" w:cs="Arial"/>
          <w:sz w:val="24"/>
          <w:szCs w:val="24"/>
        </w:rPr>
        <w:t>información y datos proporcionad</w:t>
      </w:r>
      <w:r w:rsidR="00232A71" w:rsidRPr="0084402E">
        <w:rPr>
          <w:rFonts w:ascii="Arial" w:eastAsiaTheme="minorEastAsia" w:hAnsi="Arial" w:cs="Arial"/>
          <w:sz w:val="24"/>
          <w:szCs w:val="24"/>
        </w:rPr>
        <w:t>os por la dependencia ejecutora:</w:t>
      </w:r>
      <w:r w:rsidRPr="0084402E">
        <w:rPr>
          <w:rFonts w:ascii="Arial" w:eastAsiaTheme="minorEastAsia" w:hAnsi="Arial" w:cs="Arial"/>
          <w:sz w:val="24"/>
          <w:szCs w:val="24"/>
        </w:rPr>
        <w:t xml:space="preserve"> el Instituto de Educación para Adultos del Estado de Yucatán (IEAEY)</w:t>
      </w:r>
      <w:r w:rsidR="00232A71" w:rsidRPr="0084402E">
        <w:rPr>
          <w:rFonts w:ascii="Arial" w:eastAsiaTheme="minorEastAsia" w:hAnsi="Arial" w:cs="Arial"/>
          <w:sz w:val="24"/>
          <w:szCs w:val="24"/>
        </w:rPr>
        <w:t>. Se</w:t>
      </w:r>
      <w:r w:rsidRPr="0084402E">
        <w:rPr>
          <w:rFonts w:ascii="Arial" w:eastAsiaTheme="minorEastAsia" w:hAnsi="Arial" w:cs="Arial"/>
          <w:sz w:val="24"/>
          <w:szCs w:val="24"/>
        </w:rPr>
        <w:t xml:space="preserve"> destaca</w:t>
      </w:r>
      <w:r w:rsidR="00D00CB4">
        <w:rPr>
          <w:rFonts w:ascii="Arial" w:eastAsiaTheme="minorEastAsia" w:hAnsi="Arial" w:cs="Arial"/>
          <w:sz w:val="24"/>
          <w:szCs w:val="24"/>
        </w:rPr>
        <w:t>n</w:t>
      </w:r>
      <w:r w:rsidRPr="0084402E">
        <w:rPr>
          <w:rFonts w:ascii="Arial" w:eastAsiaTheme="minorEastAsia" w:hAnsi="Arial" w:cs="Arial"/>
          <w:sz w:val="24"/>
          <w:szCs w:val="24"/>
        </w:rPr>
        <w:t xml:space="preserve"> puntos específicos-clave</w:t>
      </w:r>
      <w:r w:rsidR="00947B8B" w:rsidRPr="0084402E">
        <w:rPr>
          <w:rFonts w:ascii="Arial" w:eastAsiaTheme="minorEastAsia" w:hAnsi="Arial" w:cs="Arial"/>
          <w:sz w:val="24"/>
          <w:szCs w:val="24"/>
        </w:rPr>
        <w:t xml:space="preserve"> en los temas relativos</w:t>
      </w:r>
      <w:r w:rsidRPr="0084402E">
        <w:rPr>
          <w:rFonts w:ascii="Arial" w:eastAsiaTheme="minorEastAsia" w:hAnsi="Arial" w:cs="Arial"/>
          <w:sz w:val="24"/>
          <w:szCs w:val="24"/>
        </w:rPr>
        <w:t xml:space="preserve"> a las características del programa y de</w:t>
      </w:r>
      <w:r w:rsidR="00947B8B" w:rsidRPr="0084402E">
        <w:rPr>
          <w:rFonts w:ascii="Arial" w:eastAsiaTheme="minorEastAsia" w:hAnsi="Arial" w:cs="Arial"/>
          <w:sz w:val="24"/>
          <w:szCs w:val="24"/>
        </w:rPr>
        <w:t>l F</w:t>
      </w:r>
      <w:r w:rsidRPr="0084402E">
        <w:rPr>
          <w:rFonts w:ascii="Arial" w:eastAsiaTheme="minorEastAsia" w:hAnsi="Arial" w:cs="Arial"/>
          <w:sz w:val="24"/>
          <w:szCs w:val="24"/>
        </w:rPr>
        <w:t>ondo, la planeación estratégica, la cobertura de la atención, la utilización de indicadores, la operación, la administración financiera y el ejercicio de los recursos</w:t>
      </w:r>
      <w:r w:rsidR="00575443" w:rsidRPr="0084402E">
        <w:rPr>
          <w:rFonts w:ascii="Arial" w:eastAsiaTheme="minorEastAsia" w:hAnsi="Arial" w:cs="Arial"/>
          <w:sz w:val="24"/>
          <w:szCs w:val="24"/>
        </w:rPr>
        <w:t xml:space="preserve">, </w:t>
      </w:r>
      <w:r w:rsidR="00DE2959" w:rsidRPr="0084402E">
        <w:rPr>
          <w:rFonts w:ascii="Arial" w:eastAsiaTheme="minorEastAsia" w:hAnsi="Arial" w:cs="Arial"/>
          <w:sz w:val="24"/>
          <w:szCs w:val="24"/>
        </w:rPr>
        <w:t>a través del análisis de dichos temas y la respuesta</w:t>
      </w:r>
      <w:r w:rsidR="0061752C" w:rsidRPr="0084402E">
        <w:rPr>
          <w:rFonts w:ascii="Arial" w:eastAsiaTheme="minorEastAsia" w:hAnsi="Arial" w:cs="Arial"/>
          <w:sz w:val="24"/>
          <w:szCs w:val="24"/>
        </w:rPr>
        <w:t xml:space="preserve"> argumentada, sustentada y congruente a las preguntas metodológicas que conforman</w:t>
      </w:r>
      <w:r w:rsidR="00DE2959" w:rsidRPr="0084402E">
        <w:rPr>
          <w:rFonts w:ascii="Arial" w:eastAsiaTheme="minorEastAsia" w:hAnsi="Arial" w:cs="Arial"/>
          <w:sz w:val="24"/>
          <w:szCs w:val="24"/>
        </w:rPr>
        <w:t xml:space="preserve"> cada uno de los </w:t>
      </w:r>
      <w:r w:rsidR="00947B8B" w:rsidRPr="0084402E">
        <w:rPr>
          <w:rFonts w:ascii="Arial" w:eastAsiaTheme="minorEastAsia" w:hAnsi="Arial" w:cs="Arial"/>
          <w:sz w:val="24"/>
          <w:szCs w:val="24"/>
        </w:rPr>
        <w:t>aspectos</w:t>
      </w:r>
      <w:r w:rsidR="00DE2959" w:rsidRPr="0084402E">
        <w:rPr>
          <w:rFonts w:ascii="Arial" w:eastAsiaTheme="minorEastAsia" w:hAnsi="Arial" w:cs="Arial"/>
          <w:sz w:val="24"/>
          <w:szCs w:val="24"/>
        </w:rPr>
        <w:t xml:space="preserve"> a evaluar</w:t>
      </w:r>
      <w:r w:rsidR="0061752C" w:rsidRPr="0084402E">
        <w:rPr>
          <w:rFonts w:ascii="Arial" w:eastAsiaTheme="minorEastAsia" w:hAnsi="Arial" w:cs="Arial"/>
          <w:sz w:val="24"/>
          <w:szCs w:val="24"/>
        </w:rPr>
        <w:t>, y que fueron establecidas en  los términos de referencia</w:t>
      </w:r>
      <w:r w:rsidR="00DE2959" w:rsidRPr="0084402E">
        <w:rPr>
          <w:rFonts w:ascii="Arial" w:eastAsiaTheme="minorEastAsia" w:hAnsi="Arial" w:cs="Arial"/>
          <w:sz w:val="24"/>
          <w:szCs w:val="24"/>
        </w:rPr>
        <w:t>.</w:t>
      </w:r>
    </w:p>
    <w:p w14:paraId="560C509A" w14:textId="77777777" w:rsidR="00903634" w:rsidRPr="0084402E" w:rsidRDefault="00903634" w:rsidP="00D350B6">
      <w:pPr>
        <w:spacing w:after="0" w:line="360" w:lineRule="auto"/>
        <w:contextualSpacing/>
        <w:jc w:val="both"/>
        <w:rPr>
          <w:rFonts w:ascii="Arial" w:eastAsiaTheme="minorEastAsia" w:hAnsi="Arial" w:cs="Arial"/>
          <w:sz w:val="24"/>
          <w:szCs w:val="24"/>
        </w:rPr>
      </w:pPr>
    </w:p>
    <w:p w14:paraId="317CFBD7" w14:textId="0D138FEC" w:rsidR="00DE68AA" w:rsidRPr="0084402E" w:rsidRDefault="0064683D" w:rsidP="00D350B6">
      <w:pPr>
        <w:spacing w:after="0" w:line="360" w:lineRule="auto"/>
        <w:contextualSpacing/>
        <w:jc w:val="both"/>
        <w:rPr>
          <w:rFonts w:ascii="Arial" w:eastAsiaTheme="minorEastAsia" w:hAnsi="Arial" w:cs="Arial"/>
          <w:sz w:val="24"/>
          <w:szCs w:val="24"/>
        </w:rPr>
      </w:pPr>
      <w:r w:rsidRPr="0084402E">
        <w:rPr>
          <w:rFonts w:ascii="Arial" w:eastAsiaTheme="minorEastAsia" w:hAnsi="Arial" w:cs="Arial"/>
          <w:sz w:val="24"/>
          <w:szCs w:val="24"/>
        </w:rPr>
        <w:t>Considerando las características y objetivos del FAETA, se encontró que los</w:t>
      </w:r>
      <w:r w:rsidR="00311251" w:rsidRPr="0084402E">
        <w:rPr>
          <w:rFonts w:ascii="Arial" w:eastAsiaTheme="minorEastAsia" w:hAnsi="Arial" w:cs="Arial"/>
          <w:sz w:val="24"/>
          <w:szCs w:val="24"/>
        </w:rPr>
        <w:t xml:space="preserve"> recursos transferidos de este F</w:t>
      </w:r>
      <w:r w:rsidRPr="0084402E">
        <w:rPr>
          <w:rFonts w:ascii="Arial" w:eastAsiaTheme="minorEastAsia" w:hAnsi="Arial" w:cs="Arial"/>
          <w:sz w:val="24"/>
          <w:szCs w:val="24"/>
        </w:rPr>
        <w:t>ondo se ejercen a través de programas que están orientados a resolver la problemática</w:t>
      </w:r>
      <w:r w:rsidR="00311251" w:rsidRPr="0084402E">
        <w:rPr>
          <w:rFonts w:ascii="Arial" w:eastAsiaTheme="minorEastAsia" w:hAnsi="Arial" w:cs="Arial"/>
          <w:sz w:val="24"/>
          <w:szCs w:val="24"/>
        </w:rPr>
        <w:t xml:space="preserve"> del rezago educativo</w:t>
      </w:r>
      <w:r w:rsidRPr="0084402E">
        <w:rPr>
          <w:rFonts w:ascii="Arial" w:eastAsiaTheme="minorEastAsia" w:hAnsi="Arial" w:cs="Arial"/>
          <w:sz w:val="24"/>
          <w:szCs w:val="24"/>
        </w:rPr>
        <w:t xml:space="preserve"> para la que fue creado, </w:t>
      </w:r>
      <w:r w:rsidR="00E52D2D" w:rsidRPr="0084402E">
        <w:rPr>
          <w:rFonts w:ascii="Arial" w:eastAsiaTheme="minorEastAsia" w:hAnsi="Arial" w:cs="Arial"/>
          <w:sz w:val="24"/>
          <w:szCs w:val="24"/>
        </w:rPr>
        <w:t xml:space="preserve">pues implementan las políticas de educación para adultos diseñadas por el INEA, bajo las directrices de operación emitidas por esa autoridad. Además </w:t>
      </w:r>
      <w:r w:rsidR="00337E79" w:rsidRPr="0084402E">
        <w:rPr>
          <w:rFonts w:ascii="Arial" w:eastAsiaTheme="minorEastAsia" w:hAnsi="Arial" w:cs="Arial"/>
          <w:sz w:val="24"/>
          <w:szCs w:val="24"/>
        </w:rPr>
        <w:t>se encontró</w:t>
      </w:r>
      <w:r w:rsidR="00E52D2D" w:rsidRPr="0084402E">
        <w:rPr>
          <w:rFonts w:ascii="Arial" w:eastAsiaTheme="minorEastAsia" w:hAnsi="Arial" w:cs="Arial"/>
          <w:sz w:val="24"/>
          <w:szCs w:val="24"/>
        </w:rPr>
        <w:t xml:space="preserve"> que la problemática</w:t>
      </w:r>
      <w:r w:rsidR="00311251" w:rsidRPr="0084402E">
        <w:rPr>
          <w:rFonts w:ascii="Arial" w:eastAsiaTheme="minorEastAsia" w:hAnsi="Arial" w:cs="Arial"/>
          <w:sz w:val="24"/>
          <w:szCs w:val="24"/>
        </w:rPr>
        <w:t xml:space="preserve"> del rezago educativo</w:t>
      </w:r>
      <w:r w:rsidR="00E52D2D" w:rsidRPr="0084402E">
        <w:rPr>
          <w:rFonts w:ascii="Arial" w:eastAsiaTheme="minorEastAsia" w:hAnsi="Arial" w:cs="Arial"/>
          <w:sz w:val="24"/>
          <w:szCs w:val="24"/>
        </w:rPr>
        <w:t xml:space="preserve"> </w:t>
      </w:r>
      <w:r w:rsidRPr="0084402E">
        <w:rPr>
          <w:rFonts w:ascii="Arial" w:eastAsiaTheme="minorEastAsia" w:hAnsi="Arial" w:cs="Arial"/>
          <w:sz w:val="24"/>
          <w:szCs w:val="24"/>
        </w:rPr>
        <w:t>está claramente identificada y dimensionada</w:t>
      </w:r>
      <w:r w:rsidR="00E52D2D" w:rsidRPr="0084402E">
        <w:rPr>
          <w:rFonts w:ascii="Arial" w:eastAsiaTheme="minorEastAsia" w:hAnsi="Arial" w:cs="Arial"/>
          <w:sz w:val="24"/>
          <w:szCs w:val="24"/>
        </w:rPr>
        <w:t xml:space="preserve"> </w:t>
      </w:r>
      <w:r w:rsidR="00311251" w:rsidRPr="0084402E">
        <w:rPr>
          <w:rFonts w:ascii="Arial" w:eastAsiaTheme="minorEastAsia" w:hAnsi="Arial" w:cs="Arial"/>
          <w:sz w:val="24"/>
          <w:szCs w:val="24"/>
        </w:rPr>
        <w:t>y que supone un gran reto para el estado</w:t>
      </w:r>
      <w:r w:rsidR="0028139E" w:rsidRPr="0084402E">
        <w:rPr>
          <w:rFonts w:ascii="Arial" w:eastAsiaTheme="minorEastAsia" w:hAnsi="Arial" w:cs="Arial"/>
          <w:sz w:val="24"/>
          <w:szCs w:val="24"/>
        </w:rPr>
        <w:t>,</w:t>
      </w:r>
      <w:r w:rsidR="00311251" w:rsidRPr="0084402E">
        <w:rPr>
          <w:rFonts w:ascii="Arial" w:eastAsiaTheme="minorEastAsia" w:hAnsi="Arial" w:cs="Arial"/>
          <w:sz w:val="24"/>
          <w:szCs w:val="24"/>
        </w:rPr>
        <w:t xml:space="preserve"> ya</w:t>
      </w:r>
      <w:r w:rsidR="00E52D2D" w:rsidRPr="0084402E">
        <w:rPr>
          <w:rFonts w:ascii="Arial" w:eastAsiaTheme="minorEastAsia" w:hAnsi="Arial" w:cs="Arial"/>
          <w:sz w:val="24"/>
          <w:szCs w:val="24"/>
        </w:rPr>
        <w:t xml:space="preserve"> </w:t>
      </w:r>
      <w:r w:rsidR="0028139E" w:rsidRPr="0084402E">
        <w:rPr>
          <w:rFonts w:ascii="Arial" w:eastAsiaTheme="minorEastAsia" w:hAnsi="Arial" w:cs="Arial"/>
          <w:sz w:val="24"/>
          <w:szCs w:val="24"/>
        </w:rPr>
        <w:t>que tiene</w:t>
      </w:r>
      <w:r w:rsidR="00311251" w:rsidRPr="0084402E">
        <w:rPr>
          <w:rFonts w:ascii="Arial" w:eastAsiaTheme="minorEastAsia" w:hAnsi="Arial" w:cs="Arial"/>
          <w:sz w:val="24"/>
          <w:szCs w:val="24"/>
        </w:rPr>
        <w:t xml:space="preserve"> una dimensión considerable </w:t>
      </w:r>
      <w:r w:rsidR="00E52D2D" w:rsidRPr="0084402E">
        <w:rPr>
          <w:rFonts w:ascii="Arial" w:eastAsiaTheme="minorEastAsia" w:hAnsi="Arial" w:cs="Arial"/>
          <w:sz w:val="24"/>
          <w:szCs w:val="24"/>
        </w:rPr>
        <w:t xml:space="preserve">que sólo ha sido posible atender de manera limitada. </w:t>
      </w:r>
      <w:r w:rsidR="00311251" w:rsidRPr="0084402E">
        <w:rPr>
          <w:rFonts w:ascii="Arial" w:eastAsiaTheme="minorEastAsia" w:hAnsi="Arial" w:cs="Arial"/>
          <w:sz w:val="24"/>
          <w:szCs w:val="24"/>
        </w:rPr>
        <w:t xml:space="preserve">No obstante, </w:t>
      </w:r>
      <w:r w:rsidR="00337E79" w:rsidRPr="0084402E">
        <w:rPr>
          <w:rFonts w:ascii="Arial" w:eastAsiaTheme="minorEastAsia" w:hAnsi="Arial" w:cs="Arial"/>
          <w:sz w:val="24"/>
          <w:szCs w:val="24"/>
        </w:rPr>
        <w:t xml:space="preserve">la </w:t>
      </w:r>
      <w:r w:rsidR="00311251" w:rsidRPr="0084402E">
        <w:rPr>
          <w:rFonts w:ascii="Arial" w:eastAsiaTheme="minorEastAsia" w:hAnsi="Arial" w:cs="Arial"/>
          <w:sz w:val="24"/>
          <w:szCs w:val="24"/>
        </w:rPr>
        <w:t xml:space="preserve">atención del rezago educativo está contemplada en los planes de desarrollo de los ámbitos de gobierno responsables de su atención, mediante objetivos claros que son congruentes entres sí y con el diseño del programa, lo que es un punto de partida </w:t>
      </w:r>
      <w:r w:rsidR="00311251" w:rsidRPr="0084402E">
        <w:rPr>
          <w:rFonts w:ascii="Arial" w:eastAsiaTheme="minorEastAsia" w:hAnsi="Arial" w:cs="Arial"/>
          <w:sz w:val="24"/>
          <w:szCs w:val="24"/>
        </w:rPr>
        <w:lastRenderedPageBreak/>
        <w:t xml:space="preserve">importante porque está considerado dentro de las prioridades de política pública en materia social.  </w:t>
      </w:r>
    </w:p>
    <w:p w14:paraId="22D62885" w14:textId="77777777" w:rsidR="00884ACF" w:rsidRPr="0084402E" w:rsidRDefault="00884ACF" w:rsidP="00D350B6">
      <w:pPr>
        <w:spacing w:after="0" w:line="360" w:lineRule="auto"/>
        <w:contextualSpacing/>
        <w:jc w:val="both"/>
        <w:rPr>
          <w:rFonts w:ascii="Arial" w:eastAsiaTheme="minorEastAsia" w:hAnsi="Arial" w:cs="Arial"/>
          <w:sz w:val="24"/>
          <w:szCs w:val="24"/>
        </w:rPr>
      </w:pPr>
    </w:p>
    <w:p w14:paraId="0CDD3FC0" w14:textId="597D7C5C" w:rsidR="00D350B6" w:rsidRPr="0084402E" w:rsidRDefault="00884ACF" w:rsidP="00D350B6">
      <w:pPr>
        <w:spacing w:after="0" w:line="360" w:lineRule="auto"/>
        <w:contextualSpacing/>
        <w:jc w:val="both"/>
        <w:rPr>
          <w:rFonts w:ascii="Arial" w:eastAsiaTheme="minorEastAsia" w:hAnsi="Arial" w:cs="Arial"/>
          <w:sz w:val="24"/>
          <w:szCs w:val="24"/>
        </w:rPr>
      </w:pPr>
      <w:r w:rsidRPr="0084402E">
        <w:rPr>
          <w:rFonts w:ascii="Arial" w:eastAsiaTheme="minorEastAsia" w:hAnsi="Arial" w:cs="Arial"/>
          <w:sz w:val="24"/>
          <w:szCs w:val="24"/>
        </w:rPr>
        <w:t xml:space="preserve">Uno de los principales retos de los programas evaluados es el incremento de la cobertura, ya que como se </w:t>
      </w:r>
      <w:r w:rsidR="00D00CB4">
        <w:rPr>
          <w:rFonts w:ascii="Arial" w:eastAsiaTheme="minorEastAsia" w:hAnsi="Arial" w:cs="Arial"/>
          <w:sz w:val="24"/>
          <w:szCs w:val="24"/>
        </w:rPr>
        <w:t>mencionó</w:t>
      </w:r>
      <w:r w:rsidR="0028139E" w:rsidRPr="0084402E">
        <w:rPr>
          <w:rFonts w:ascii="Arial" w:eastAsiaTheme="minorEastAsia" w:hAnsi="Arial" w:cs="Arial"/>
          <w:sz w:val="24"/>
          <w:szCs w:val="24"/>
        </w:rPr>
        <w:t>,</w:t>
      </w:r>
      <w:r w:rsidRPr="0084402E">
        <w:rPr>
          <w:rFonts w:ascii="Arial" w:eastAsiaTheme="minorEastAsia" w:hAnsi="Arial" w:cs="Arial"/>
          <w:sz w:val="24"/>
          <w:szCs w:val="24"/>
        </w:rPr>
        <w:t xml:space="preserve"> es limitada en relación con la</w:t>
      </w:r>
      <w:r w:rsidR="00947B8B" w:rsidRPr="0084402E">
        <w:rPr>
          <w:rFonts w:ascii="Arial" w:eastAsiaTheme="minorEastAsia" w:hAnsi="Arial" w:cs="Arial"/>
          <w:sz w:val="24"/>
          <w:szCs w:val="24"/>
        </w:rPr>
        <w:t xml:space="preserve"> dimensión de la</w:t>
      </w:r>
      <w:r w:rsidRPr="0084402E">
        <w:rPr>
          <w:rFonts w:ascii="Arial" w:eastAsiaTheme="minorEastAsia" w:hAnsi="Arial" w:cs="Arial"/>
          <w:sz w:val="24"/>
          <w:szCs w:val="24"/>
        </w:rPr>
        <w:t xml:space="preserve"> problemática.</w:t>
      </w:r>
      <w:r w:rsidR="0094702A" w:rsidRPr="0084402E">
        <w:rPr>
          <w:rFonts w:ascii="Arial" w:eastAsiaTheme="minorEastAsia" w:hAnsi="Arial" w:cs="Arial"/>
          <w:sz w:val="24"/>
          <w:szCs w:val="24"/>
        </w:rPr>
        <w:t xml:space="preserve"> </w:t>
      </w:r>
      <w:r w:rsidR="00BA7818" w:rsidRPr="0084402E">
        <w:rPr>
          <w:rFonts w:ascii="Arial" w:eastAsiaTheme="minorEastAsia" w:hAnsi="Arial" w:cs="Arial"/>
          <w:sz w:val="24"/>
          <w:szCs w:val="24"/>
        </w:rPr>
        <w:t>Es un reto difícil</w:t>
      </w:r>
      <w:r w:rsidR="0028139E" w:rsidRPr="0084402E">
        <w:rPr>
          <w:rFonts w:ascii="Arial" w:eastAsiaTheme="minorEastAsia" w:hAnsi="Arial" w:cs="Arial"/>
          <w:sz w:val="24"/>
          <w:szCs w:val="24"/>
        </w:rPr>
        <w:t>,</w:t>
      </w:r>
      <w:r w:rsidR="00BA7818" w:rsidRPr="0084402E">
        <w:rPr>
          <w:rFonts w:ascii="Arial" w:eastAsiaTheme="minorEastAsia" w:hAnsi="Arial" w:cs="Arial"/>
          <w:sz w:val="24"/>
          <w:szCs w:val="24"/>
        </w:rPr>
        <w:t xml:space="preserve"> dado que los recursos transferidos en los últimos años no han mostrado crecimiento en términos reales. Sin embargo</w:t>
      </w:r>
      <w:r w:rsidR="0028139E" w:rsidRPr="0084402E">
        <w:rPr>
          <w:rFonts w:ascii="Arial" w:eastAsiaTheme="minorEastAsia" w:hAnsi="Arial" w:cs="Arial"/>
          <w:sz w:val="24"/>
          <w:szCs w:val="24"/>
        </w:rPr>
        <w:t>,</w:t>
      </w:r>
      <w:r w:rsidR="00BA7818" w:rsidRPr="0084402E">
        <w:rPr>
          <w:rFonts w:ascii="Arial" w:eastAsiaTheme="minorEastAsia" w:hAnsi="Arial" w:cs="Arial"/>
          <w:sz w:val="24"/>
          <w:szCs w:val="24"/>
        </w:rPr>
        <w:t xml:space="preserve"> el presupuesto del programa se incrementó considerablemente en 2014 con respecto de 2013 con recursos complementarios</w:t>
      </w:r>
      <w:r w:rsidR="00947B8B" w:rsidRPr="0084402E">
        <w:rPr>
          <w:rFonts w:ascii="Arial" w:eastAsiaTheme="minorEastAsia" w:hAnsi="Arial" w:cs="Arial"/>
          <w:sz w:val="24"/>
          <w:szCs w:val="24"/>
        </w:rPr>
        <w:t xml:space="preserve"> que no provienen del FAETA</w:t>
      </w:r>
      <w:r w:rsidR="00BA7818" w:rsidRPr="0084402E">
        <w:rPr>
          <w:rFonts w:ascii="Arial" w:eastAsiaTheme="minorEastAsia" w:hAnsi="Arial" w:cs="Arial"/>
          <w:sz w:val="24"/>
          <w:szCs w:val="24"/>
        </w:rPr>
        <w:t xml:space="preserve">. </w:t>
      </w:r>
      <w:r w:rsidRPr="0084402E">
        <w:rPr>
          <w:rFonts w:ascii="Arial" w:eastAsiaTheme="minorEastAsia" w:hAnsi="Arial" w:cs="Arial"/>
          <w:sz w:val="24"/>
          <w:szCs w:val="24"/>
        </w:rPr>
        <w:t>La población objetivo</w:t>
      </w:r>
      <w:r w:rsidR="00BA7818" w:rsidRPr="0084402E">
        <w:rPr>
          <w:rFonts w:ascii="Arial" w:eastAsiaTheme="minorEastAsia" w:hAnsi="Arial" w:cs="Arial"/>
          <w:sz w:val="24"/>
          <w:szCs w:val="24"/>
        </w:rPr>
        <w:t xml:space="preserve"> definida como la población que el programa tiene programado atender en un período dado de tiempo, está fijada en </w:t>
      </w:r>
      <w:r w:rsidR="002B70C1" w:rsidRPr="0084402E">
        <w:rPr>
          <w:rFonts w:ascii="Arial" w:eastAsiaTheme="minorEastAsia" w:hAnsi="Arial" w:cs="Arial"/>
          <w:sz w:val="24"/>
          <w:szCs w:val="24"/>
        </w:rPr>
        <w:t>el</w:t>
      </w:r>
      <w:r w:rsidR="00BA7818" w:rsidRPr="0084402E">
        <w:rPr>
          <w:rFonts w:ascii="Arial" w:eastAsiaTheme="minorEastAsia" w:hAnsi="Arial" w:cs="Arial"/>
          <w:sz w:val="24"/>
          <w:szCs w:val="24"/>
        </w:rPr>
        <w:t xml:space="preserve"> 5% de la población potencial, que es la totalidad de la población en rezago educativo en el estado</w:t>
      </w:r>
      <w:r w:rsidR="00EC0EE7" w:rsidRPr="0084402E">
        <w:rPr>
          <w:rFonts w:ascii="Arial" w:eastAsiaTheme="minorEastAsia" w:hAnsi="Arial" w:cs="Arial"/>
          <w:sz w:val="24"/>
          <w:szCs w:val="24"/>
        </w:rPr>
        <w:t xml:space="preserve">. Se </w:t>
      </w:r>
      <w:r w:rsidR="00B51905" w:rsidRPr="0084402E">
        <w:rPr>
          <w:rFonts w:ascii="Arial" w:eastAsiaTheme="minorEastAsia" w:hAnsi="Arial" w:cs="Arial"/>
          <w:sz w:val="24"/>
          <w:szCs w:val="24"/>
        </w:rPr>
        <w:t>detectaron</w:t>
      </w:r>
      <w:r w:rsidR="00EC0EE7" w:rsidRPr="0084402E">
        <w:rPr>
          <w:rFonts w:ascii="Arial" w:eastAsiaTheme="minorEastAsia" w:hAnsi="Arial" w:cs="Arial"/>
          <w:sz w:val="24"/>
          <w:szCs w:val="24"/>
        </w:rPr>
        <w:t xml:space="preserve"> hallazgos que apuntan hacia la recomendaci</w:t>
      </w:r>
      <w:r w:rsidR="00B51905" w:rsidRPr="0084402E">
        <w:rPr>
          <w:rFonts w:ascii="Arial" w:eastAsiaTheme="minorEastAsia" w:hAnsi="Arial" w:cs="Arial"/>
          <w:sz w:val="24"/>
          <w:szCs w:val="24"/>
        </w:rPr>
        <w:t>ón</w:t>
      </w:r>
      <w:r w:rsidR="00EC0EE7" w:rsidRPr="0084402E">
        <w:rPr>
          <w:rFonts w:ascii="Arial" w:eastAsiaTheme="minorEastAsia" w:hAnsi="Arial" w:cs="Arial"/>
          <w:sz w:val="24"/>
          <w:szCs w:val="24"/>
        </w:rPr>
        <w:t xml:space="preserve"> de </w:t>
      </w:r>
      <w:r w:rsidR="00BA7818" w:rsidRPr="0084402E">
        <w:rPr>
          <w:rFonts w:ascii="Arial" w:eastAsiaTheme="minorEastAsia" w:hAnsi="Arial" w:cs="Arial"/>
          <w:sz w:val="24"/>
          <w:szCs w:val="24"/>
        </w:rPr>
        <w:t>revisar este criterio</w:t>
      </w:r>
      <w:r w:rsidR="00B51905" w:rsidRPr="0084402E">
        <w:rPr>
          <w:rFonts w:ascii="Arial" w:eastAsiaTheme="minorEastAsia" w:hAnsi="Arial" w:cs="Arial"/>
          <w:sz w:val="24"/>
          <w:szCs w:val="24"/>
        </w:rPr>
        <w:t>,</w:t>
      </w:r>
      <w:r w:rsidR="00BA7818" w:rsidRPr="0084402E">
        <w:rPr>
          <w:rFonts w:ascii="Arial" w:eastAsiaTheme="minorEastAsia" w:hAnsi="Arial" w:cs="Arial"/>
          <w:sz w:val="24"/>
          <w:szCs w:val="24"/>
        </w:rPr>
        <w:t xml:space="preserve"> a la luz de un fortalecimiento de la política de atención al rezago educativo a nivel nacional a través de la Campaña Nacional de Alfabetización y Abatimiento del Rezago Educativo 2014-2018, así como las metas relacionadas con la cobertura, y la</w:t>
      </w:r>
      <w:r w:rsidR="0028139E" w:rsidRPr="0084402E">
        <w:rPr>
          <w:rFonts w:ascii="Arial" w:eastAsiaTheme="minorEastAsia" w:hAnsi="Arial" w:cs="Arial"/>
          <w:sz w:val="24"/>
          <w:szCs w:val="24"/>
        </w:rPr>
        <w:t>s</w:t>
      </w:r>
      <w:r w:rsidR="00BA7818" w:rsidRPr="0084402E">
        <w:rPr>
          <w:rFonts w:ascii="Arial" w:eastAsiaTheme="minorEastAsia" w:hAnsi="Arial" w:cs="Arial"/>
          <w:sz w:val="24"/>
          <w:szCs w:val="24"/>
        </w:rPr>
        <w:t xml:space="preserve"> acciones que derivadas de esta política nacional corresponden al IEAEY. </w:t>
      </w:r>
    </w:p>
    <w:p w14:paraId="1EE35C87" w14:textId="77777777" w:rsidR="00D350B6" w:rsidRPr="0084402E" w:rsidRDefault="00D350B6" w:rsidP="00D350B6">
      <w:pPr>
        <w:spacing w:after="0" w:line="360" w:lineRule="auto"/>
        <w:contextualSpacing/>
        <w:jc w:val="both"/>
        <w:rPr>
          <w:rFonts w:ascii="Arial" w:eastAsiaTheme="minorEastAsia" w:hAnsi="Arial" w:cs="Arial"/>
          <w:sz w:val="24"/>
          <w:szCs w:val="24"/>
        </w:rPr>
      </w:pPr>
    </w:p>
    <w:p w14:paraId="13616E3A" w14:textId="4ED80833" w:rsidR="00D350B6" w:rsidRPr="0084402E" w:rsidRDefault="00491BE1" w:rsidP="00D350B6">
      <w:pPr>
        <w:spacing w:after="0" w:line="360" w:lineRule="auto"/>
        <w:contextualSpacing/>
        <w:jc w:val="both"/>
        <w:rPr>
          <w:rFonts w:ascii="Arial" w:eastAsiaTheme="minorEastAsia" w:hAnsi="Arial" w:cs="Arial"/>
          <w:sz w:val="24"/>
          <w:szCs w:val="24"/>
        </w:rPr>
      </w:pPr>
      <w:r w:rsidRPr="0084402E">
        <w:rPr>
          <w:rFonts w:ascii="Arial" w:eastAsiaTheme="minorEastAsia" w:hAnsi="Arial" w:cs="Arial"/>
          <w:sz w:val="24"/>
          <w:szCs w:val="24"/>
        </w:rPr>
        <w:t xml:space="preserve">Se identificaron retos importantes y áreas de oportunidad en lo que se refiere a los indicadores de desempeño asociados a la ejecución del programa y sus resultados. Se </w:t>
      </w:r>
      <w:r w:rsidR="004870C7" w:rsidRPr="0084402E">
        <w:rPr>
          <w:rFonts w:ascii="Arial" w:eastAsiaTheme="minorEastAsia" w:hAnsi="Arial" w:cs="Arial"/>
          <w:sz w:val="24"/>
          <w:szCs w:val="24"/>
        </w:rPr>
        <w:t>emplean</w:t>
      </w:r>
      <w:r w:rsidRPr="0084402E">
        <w:rPr>
          <w:rFonts w:ascii="Arial" w:eastAsiaTheme="minorEastAsia" w:hAnsi="Arial" w:cs="Arial"/>
          <w:sz w:val="24"/>
          <w:szCs w:val="24"/>
        </w:rPr>
        <w:t xml:space="preserve"> diversos instrumentos de programación y seguimiento para los programas evaluados que utilizan indicadores del desempeño, dos de carácter estatal y </w:t>
      </w:r>
      <w:r w:rsidR="00B10EBD" w:rsidRPr="0084402E">
        <w:rPr>
          <w:rFonts w:ascii="Arial" w:eastAsiaTheme="minorEastAsia" w:hAnsi="Arial" w:cs="Arial"/>
          <w:sz w:val="24"/>
          <w:szCs w:val="24"/>
        </w:rPr>
        <w:t xml:space="preserve">uno </w:t>
      </w:r>
      <w:r w:rsidRPr="0084402E">
        <w:rPr>
          <w:rFonts w:ascii="Arial" w:eastAsiaTheme="minorEastAsia" w:hAnsi="Arial" w:cs="Arial"/>
          <w:sz w:val="24"/>
          <w:szCs w:val="24"/>
        </w:rPr>
        <w:t>de carácter federal: el Programa Operativo Anual (POA), la Matriz de Indicadores de Resultados (MIR)</w:t>
      </w:r>
      <w:r w:rsidR="00D00CB4">
        <w:rPr>
          <w:rFonts w:ascii="Arial" w:eastAsiaTheme="minorEastAsia" w:hAnsi="Arial" w:cs="Arial"/>
          <w:sz w:val="24"/>
          <w:szCs w:val="24"/>
        </w:rPr>
        <w:t xml:space="preserve"> y</w:t>
      </w:r>
      <w:r w:rsidRPr="0084402E">
        <w:rPr>
          <w:rFonts w:ascii="Arial" w:eastAsiaTheme="minorEastAsia" w:hAnsi="Arial" w:cs="Arial"/>
          <w:sz w:val="24"/>
          <w:szCs w:val="24"/>
        </w:rPr>
        <w:t xml:space="preserve"> el Sistema de Formato Único (SFU). </w:t>
      </w:r>
    </w:p>
    <w:p w14:paraId="1BCE6FFA" w14:textId="77777777" w:rsidR="00491BE1" w:rsidRPr="0084402E" w:rsidRDefault="00491BE1" w:rsidP="00D350B6">
      <w:pPr>
        <w:spacing w:after="0" w:line="360" w:lineRule="auto"/>
        <w:contextualSpacing/>
        <w:jc w:val="both"/>
        <w:rPr>
          <w:rFonts w:ascii="Arial" w:eastAsiaTheme="minorEastAsia" w:hAnsi="Arial" w:cs="Arial"/>
          <w:sz w:val="24"/>
          <w:szCs w:val="24"/>
        </w:rPr>
      </w:pPr>
    </w:p>
    <w:p w14:paraId="59AA998B" w14:textId="0CBC0048" w:rsidR="00491BE1" w:rsidRPr="0084402E" w:rsidRDefault="002D33F2" w:rsidP="00D350B6">
      <w:pPr>
        <w:spacing w:after="0" w:line="360" w:lineRule="auto"/>
        <w:contextualSpacing/>
        <w:jc w:val="both"/>
        <w:rPr>
          <w:rFonts w:ascii="Arial" w:eastAsiaTheme="minorEastAsia" w:hAnsi="Arial" w:cs="Arial"/>
          <w:sz w:val="24"/>
          <w:szCs w:val="24"/>
        </w:rPr>
      </w:pPr>
      <w:r w:rsidRPr="0084402E">
        <w:rPr>
          <w:rFonts w:ascii="Arial" w:eastAsiaTheme="minorEastAsia" w:hAnsi="Arial" w:cs="Arial"/>
          <w:sz w:val="24"/>
          <w:szCs w:val="24"/>
        </w:rPr>
        <w:t xml:space="preserve">La operación </w:t>
      </w:r>
      <w:r w:rsidR="007B2FE0" w:rsidRPr="0084402E">
        <w:rPr>
          <w:rFonts w:ascii="Arial" w:eastAsiaTheme="minorEastAsia" w:hAnsi="Arial" w:cs="Arial"/>
          <w:sz w:val="24"/>
          <w:szCs w:val="24"/>
        </w:rPr>
        <w:t>de los programas, la prestación de los servicios de educación para adultos en rezago educativo,</w:t>
      </w:r>
      <w:r w:rsidRPr="0084402E">
        <w:rPr>
          <w:rFonts w:ascii="Arial" w:eastAsiaTheme="minorEastAsia" w:hAnsi="Arial" w:cs="Arial"/>
          <w:sz w:val="24"/>
          <w:szCs w:val="24"/>
        </w:rPr>
        <w:t xml:space="preserve"> está fundamentada en </w:t>
      </w:r>
      <w:r w:rsidR="007B2FE0" w:rsidRPr="0084402E">
        <w:rPr>
          <w:rFonts w:ascii="Arial" w:eastAsiaTheme="minorEastAsia" w:hAnsi="Arial" w:cs="Arial"/>
          <w:sz w:val="24"/>
          <w:szCs w:val="24"/>
        </w:rPr>
        <w:t>la política educativa que establece la Federación a través del INEA, y en las  Reglas de Operación de los Programas de Atención a la Demanda de Educación para Adultos (INEA) y Modelo de Educación para la Vida y el Trabajo (</w:t>
      </w:r>
      <w:r w:rsidR="004870C7" w:rsidRPr="0084402E">
        <w:rPr>
          <w:rFonts w:ascii="Arial" w:eastAsiaTheme="minorEastAsia" w:hAnsi="Arial" w:cs="Arial"/>
          <w:sz w:val="24"/>
          <w:szCs w:val="24"/>
        </w:rPr>
        <w:t>MEVyT</w:t>
      </w:r>
      <w:r w:rsidR="0028139E" w:rsidRPr="0084402E">
        <w:rPr>
          <w:rFonts w:ascii="Arial" w:eastAsiaTheme="minorEastAsia" w:hAnsi="Arial" w:cs="Arial"/>
          <w:sz w:val="24"/>
          <w:szCs w:val="24"/>
        </w:rPr>
        <w:t>);</w:t>
      </w:r>
      <w:r w:rsidR="007B2FE0" w:rsidRPr="0084402E">
        <w:rPr>
          <w:rFonts w:ascii="Arial" w:eastAsiaTheme="minorEastAsia" w:hAnsi="Arial" w:cs="Arial"/>
          <w:sz w:val="24"/>
          <w:szCs w:val="24"/>
        </w:rPr>
        <w:t xml:space="preserve"> así mismo se apoya administrativamente </w:t>
      </w:r>
      <w:r w:rsidR="003A47C0" w:rsidRPr="0084402E">
        <w:rPr>
          <w:rFonts w:ascii="Arial" w:eastAsiaTheme="minorEastAsia" w:hAnsi="Arial" w:cs="Arial"/>
          <w:sz w:val="24"/>
          <w:szCs w:val="24"/>
        </w:rPr>
        <w:t xml:space="preserve">en </w:t>
      </w:r>
      <w:r w:rsidR="007B2FE0" w:rsidRPr="0084402E">
        <w:rPr>
          <w:rFonts w:ascii="Arial" w:eastAsiaTheme="minorEastAsia" w:hAnsi="Arial" w:cs="Arial"/>
          <w:sz w:val="24"/>
          <w:szCs w:val="24"/>
        </w:rPr>
        <w:t xml:space="preserve">el Sistema Automatizado de </w:t>
      </w:r>
      <w:r w:rsidR="007B2FE0" w:rsidRPr="0084402E">
        <w:rPr>
          <w:rFonts w:ascii="Arial" w:eastAsiaTheme="minorEastAsia" w:hAnsi="Arial" w:cs="Arial"/>
          <w:sz w:val="24"/>
          <w:szCs w:val="24"/>
        </w:rPr>
        <w:lastRenderedPageBreak/>
        <w:t xml:space="preserve">Seguimiento y Acreditación. </w:t>
      </w:r>
      <w:r w:rsidR="00450E87" w:rsidRPr="00315EF2">
        <w:rPr>
          <w:rFonts w:ascii="Arial" w:eastAsiaTheme="minorEastAsia" w:hAnsi="Arial" w:cs="Arial"/>
          <w:sz w:val="24"/>
          <w:szCs w:val="24"/>
        </w:rPr>
        <w:t>Aún s</w:t>
      </w:r>
      <w:r w:rsidR="007B2FE0" w:rsidRPr="00315EF2">
        <w:rPr>
          <w:rFonts w:ascii="Arial" w:eastAsiaTheme="minorEastAsia" w:hAnsi="Arial" w:cs="Arial"/>
          <w:sz w:val="24"/>
          <w:szCs w:val="24"/>
        </w:rPr>
        <w:t xml:space="preserve">in tener indicadores de gestión para evaluar la operación, los resultados obtenidos en términos de logro educativo de los educandos atendidos son satisfactorios, lo que muestra que el programa se opera de manera </w:t>
      </w:r>
      <w:r w:rsidR="003A47C0" w:rsidRPr="00315EF2">
        <w:rPr>
          <w:rFonts w:ascii="Arial" w:eastAsiaTheme="minorEastAsia" w:hAnsi="Arial" w:cs="Arial"/>
          <w:sz w:val="24"/>
          <w:szCs w:val="24"/>
        </w:rPr>
        <w:t>adecuada</w:t>
      </w:r>
      <w:r w:rsidR="007B2FE0" w:rsidRPr="00315EF2">
        <w:rPr>
          <w:rFonts w:ascii="Arial" w:eastAsiaTheme="minorEastAsia" w:hAnsi="Arial" w:cs="Arial"/>
          <w:sz w:val="24"/>
          <w:szCs w:val="24"/>
        </w:rPr>
        <w:t xml:space="preserve"> y de acuerdo con la normatividad. No obstante</w:t>
      </w:r>
      <w:r w:rsidR="006B744E" w:rsidRPr="00315EF2">
        <w:rPr>
          <w:rFonts w:ascii="Arial" w:eastAsiaTheme="minorEastAsia" w:hAnsi="Arial" w:cs="Arial"/>
          <w:sz w:val="24"/>
          <w:szCs w:val="24"/>
        </w:rPr>
        <w:t>,</w:t>
      </w:r>
      <w:r w:rsidR="007B2FE0" w:rsidRPr="00315EF2">
        <w:rPr>
          <w:rFonts w:ascii="Arial" w:eastAsiaTheme="minorEastAsia" w:hAnsi="Arial" w:cs="Arial"/>
          <w:sz w:val="24"/>
          <w:szCs w:val="24"/>
        </w:rPr>
        <w:t xml:space="preserve"> sin indicadores de gestión es difícil identificar áreas de oportunidad para mejorar la eficiencia del programa.</w:t>
      </w:r>
      <w:r w:rsidR="007B2FE0" w:rsidRPr="0084402E">
        <w:rPr>
          <w:rFonts w:ascii="Arial" w:eastAsiaTheme="minorEastAsia" w:hAnsi="Arial" w:cs="Arial"/>
          <w:sz w:val="24"/>
          <w:szCs w:val="24"/>
        </w:rPr>
        <w:t xml:space="preserve"> </w:t>
      </w:r>
    </w:p>
    <w:p w14:paraId="00D14D88" w14:textId="77777777" w:rsidR="003A47C0" w:rsidRPr="0084402E" w:rsidRDefault="003A47C0" w:rsidP="00D350B6">
      <w:pPr>
        <w:spacing w:after="0" w:line="360" w:lineRule="auto"/>
        <w:contextualSpacing/>
        <w:jc w:val="both"/>
        <w:rPr>
          <w:rFonts w:ascii="Arial" w:eastAsiaTheme="minorEastAsia" w:hAnsi="Arial" w:cs="Arial"/>
          <w:sz w:val="24"/>
          <w:szCs w:val="24"/>
        </w:rPr>
      </w:pPr>
    </w:p>
    <w:p w14:paraId="7897FA53" w14:textId="631B9099" w:rsidR="003A47C0" w:rsidRPr="0084402E" w:rsidRDefault="003A47C0" w:rsidP="003A47C0">
      <w:pPr>
        <w:spacing w:after="0" w:line="360" w:lineRule="auto"/>
        <w:jc w:val="both"/>
        <w:rPr>
          <w:rFonts w:ascii="Arial" w:hAnsi="Arial" w:cs="Arial"/>
          <w:sz w:val="24"/>
          <w:szCs w:val="24"/>
        </w:rPr>
      </w:pPr>
      <w:r w:rsidRPr="0084402E">
        <w:rPr>
          <w:rFonts w:ascii="Arial" w:hAnsi="Arial" w:cs="Arial"/>
          <w:sz w:val="24"/>
          <w:szCs w:val="24"/>
        </w:rPr>
        <w:t>El análisis de la administración financiera  y la operación del los recursos muestra que los recursos transferidos se aplicaron a destinos relacionados con la prestación de los servicios educativos para el cumplimiento de los objetivos del Fondo, cuyo elemento más importante son los servicios personales, y los complementarios gastos administrativos. La transferencia de los recursos del Fondo a la entidad ejecutora el IEAEY se realizó en tiempo y forma de acuerdo con el calendario establecido</w:t>
      </w:r>
      <w:r w:rsidR="000F2971" w:rsidRPr="0084402E">
        <w:rPr>
          <w:rFonts w:ascii="Arial" w:hAnsi="Arial" w:cs="Arial"/>
          <w:sz w:val="24"/>
          <w:szCs w:val="24"/>
        </w:rPr>
        <w:t>,</w:t>
      </w:r>
      <w:r w:rsidRPr="0084402E">
        <w:rPr>
          <w:rFonts w:ascii="Arial" w:hAnsi="Arial" w:cs="Arial"/>
          <w:sz w:val="24"/>
          <w:szCs w:val="24"/>
        </w:rPr>
        <w:t xml:space="preserve"> por lo se infiere que no existieron problemas de liquidez que comprometieran la prestación de los servicios. Los recursos se ejercieron en su totalidad dentro del término del ejercicio. Así mismo, se cumplió con la obligación de informar del avance financiero </w:t>
      </w:r>
      <w:r w:rsidR="000F2971" w:rsidRPr="0084402E">
        <w:rPr>
          <w:rFonts w:ascii="Arial" w:hAnsi="Arial" w:cs="Arial"/>
          <w:sz w:val="24"/>
          <w:szCs w:val="24"/>
        </w:rPr>
        <w:t xml:space="preserve">que </w:t>
      </w:r>
      <w:r w:rsidRPr="0084402E">
        <w:rPr>
          <w:rFonts w:ascii="Arial" w:hAnsi="Arial" w:cs="Arial"/>
          <w:sz w:val="24"/>
          <w:szCs w:val="24"/>
        </w:rPr>
        <w:t>se reporta en el SFU del PASH.</w:t>
      </w:r>
    </w:p>
    <w:p w14:paraId="796B2A87" w14:textId="77777777" w:rsidR="00D729FC" w:rsidRPr="0084402E" w:rsidRDefault="00D729FC" w:rsidP="003A47C0">
      <w:pPr>
        <w:spacing w:after="0" w:line="360" w:lineRule="auto"/>
        <w:jc w:val="both"/>
        <w:rPr>
          <w:rFonts w:ascii="Arial" w:hAnsi="Arial" w:cs="Arial"/>
          <w:sz w:val="24"/>
          <w:szCs w:val="24"/>
        </w:rPr>
      </w:pPr>
    </w:p>
    <w:p w14:paraId="1F4B6379" w14:textId="38A6FABE" w:rsidR="00D729FC" w:rsidRPr="0084402E" w:rsidRDefault="006B744E" w:rsidP="003A47C0">
      <w:pPr>
        <w:spacing w:after="0" w:line="360" w:lineRule="auto"/>
        <w:jc w:val="both"/>
        <w:rPr>
          <w:rFonts w:ascii="Arial" w:hAnsi="Arial" w:cs="Arial"/>
          <w:sz w:val="24"/>
          <w:szCs w:val="24"/>
        </w:rPr>
      </w:pPr>
      <w:r w:rsidRPr="0084402E">
        <w:rPr>
          <w:rFonts w:ascii="Arial" w:hAnsi="Arial" w:cs="Arial"/>
          <w:sz w:val="24"/>
          <w:szCs w:val="24"/>
        </w:rPr>
        <w:t xml:space="preserve">Se concluyó que </w:t>
      </w:r>
      <w:r w:rsidR="00D729FC" w:rsidRPr="0084402E">
        <w:rPr>
          <w:rFonts w:ascii="Arial" w:hAnsi="Arial" w:cs="Arial"/>
          <w:sz w:val="24"/>
          <w:szCs w:val="24"/>
        </w:rPr>
        <w:t>los programas Rezago Educativo y Gesti</w:t>
      </w:r>
      <w:r w:rsidR="00450E87" w:rsidRPr="0084402E">
        <w:rPr>
          <w:rFonts w:ascii="Arial" w:hAnsi="Arial" w:cs="Arial"/>
          <w:sz w:val="24"/>
          <w:szCs w:val="24"/>
        </w:rPr>
        <w:t xml:space="preserve">ón del Sistema Educativo en 2014 </w:t>
      </w:r>
      <w:r w:rsidR="00D729FC" w:rsidRPr="0084402E">
        <w:rPr>
          <w:rFonts w:ascii="Arial" w:hAnsi="Arial" w:cs="Arial"/>
          <w:sz w:val="24"/>
          <w:szCs w:val="24"/>
        </w:rPr>
        <w:t xml:space="preserve">operaron de manera adecuada, conforme a la normatividad del Fondo y </w:t>
      </w:r>
      <w:r w:rsidR="005A36AD" w:rsidRPr="0084402E">
        <w:rPr>
          <w:rFonts w:ascii="Arial" w:hAnsi="Arial" w:cs="Arial"/>
          <w:sz w:val="24"/>
          <w:szCs w:val="24"/>
        </w:rPr>
        <w:t xml:space="preserve">los lineamientos </w:t>
      </w:r>
      <w:r w:rsidR="00D729FC" w:rsidRPr="0084402E">
        <w:rPr>
          <w:rFonts w:ascii="Arial" w:hAnsi="Arial" w:cs="Arial"/>
          <w:sz w:val="24"/>
          <w:szCs w:val="24"/>
        </w:rPr>
        <w:t xml:space="preserve"> espec</w:t>
      </w:r>
      <w:r w:rsidR="005A36AD" w:rsidRPr="0084402E">
        <w:rPr>
          <w:rFonts w:ascii="Arial" w:hAnsi="Arial" w:cs="Arial"/>
          <w:sz w:val="24"/>
          <w:szCs w:val="24"/>
        </w:rPr>
        <w:t>íficos</w:t>
      </w:r>
      <w:r w:rsidR="00D729FC" w:rsidRPr="0084402E">
        <w:rPr>
          <w:rFonts w:ascii="Arial" w:hAnsi="Arial" w:cs="Arial"/>
          <w:sz w:val="24"/>
          <w:szCs w:val="24"/>
        </w:rPr>
        <w:t xml:space="preserve"> para la prestaci</w:t>
      </w:r>
      <w:r w:rsidR="005A36AD" w:rsidRPr="0084402E">
        <w:rPr>
          <w:rFonts w:ascii="Arial" w:hAnsi="Arial" w:cs="Arial"/>
          <w:sz w:val="24"/>
          <w:szCs w:val="24"/>
        </w:rPr>
        <w:t>ón de los servicios emitidos</w:t>
      </w:r>
      <w:r w:rsidR="00D729FC" w:rsidRPr="0084402E">
        <w:rPr>
          <w:rFonts w:ascii="Arial" w:hAnsi="Arial" w:cs="Arial"/>
          <w:sz w:val="24"/>
          <w:szCs w:val="24"/>
        </w:rPr>
        <w:t xml:space="preserve"> por la autoridad federal en la materia, el INEA, y tuvieron resultados satisfactorios en términos de logro educativo de la población atendida, pero que ésta representa aún un porcentaje muy limitado de la población total en rezago educativo en el estado. </w:t>
      </w:r>
      <w:r w:rsidR="00D729FC" w:rsidRPr="00315EF2">
        <w:rPr>
          <w:rFonts w:ascii="Arial" w:hAnsi="Arial" w:cs="Arial"/>
          <w:sz w:val="24"/>
          <w:szCs w:val="24"/>
        </w:rPr>
        <w:t xml:space="preserve">Se </w:t>
      </w:r>
      <w:r w:rsidR="005A36AD" w:rsidRPr="00315EF2">
        <w:rPr>
          <w:rFonts w:ascii="Arial" w:hAnsi="Arial" w:cs="Arial"/>
          <w:sz w:val="24"/>
          <w:szCs w:val="24"/>
        </w:rPr>
        <w:t>recomienda fortalecer y mejorar los instrumentos de seguimiento y evaluación del programa, para generar información que permita conocer áreas de oportunidad para hacer un uso más eficiente de los recursos que permita incrementar la cobertura.</w:t>
      </w:r>
      <w:r w:rsidR="005A36AD" w:rsidRPr="0084402E">
        <w:rPr>
          <w:rFonts w:ascii="Arial" w:hAnsi="Arial" w:cs="Arial"/>
          <w:sz w:val="24"/>
          <w:szCs w:val="24"/>
        </w:rPr>
        <w:t xml:space="preserve"> </w:t>
      </w:r>
    </w:p>
    <w:p w14:paraId="2A33D820" w14:textId="77777777" w:rsidR="00D350B6" w:rsidRPr="0084402E" w:rsidRDefault="00D350B6" w:rsidP="00D350B6">
      <w:pPr>
        <w:spacing w:after="0" w:line="360" w:lineRule="auto"/>
        <w:contextualSpacing/>
        <w:jc w:val="both"/>
        <w:rPr>
          <w:rFonts w:ascii="Arial" w:eastAsiaTheme="minorEastAsia" w:hAnsi="Arial" w:cs="Arial"/>
          <w:sz w:val="24"/>
          <w:szCs w:val="24"/>
        </w:rPr>
      </w:pPr>
    </w:p>
    <w:p w14:paraId="66DCCA7C" w14:textId="77777777" w:rsidR="00640225" w:rsidRPr="0084402E" w:rsidRDefault="00977B0B" w:rsidP="00977B0B">
      <w:pPr>
        <w:spacing w:after="0" w:line="240" w:lineRule="auto"/>
        <w:rPr>
          <w:rFonts w:ascii="Arial" w:eastAsiaTheme="minorEastAsia" w:hAnsi="Arial" w:cs="Arial"/>
          <w:sz w:val="24"/>
          <w:szCs w:val="24"/>
        </w:rPr>
      </w:pPr>
      <w:r w:rsidRPr="0084402E">
        <w:rPr>
          <w:rFonts w:ascii="Arial" w:eastAsiaTheme="minorEastAsia" w:hAnsi="Arial" w:cs="Arial"/>
          <w:sz w:val="24"/>
          <w:szCs w:val="24"/>
        </w:rPr>
        <w:br w:type="page"/>
      </w:r>
    </w:p>
    <w:tbl>
      <w:tblPr>
        <w:tblpPr w:leftFromText="141" w:rightFromText="141" w:vertAnchor="page" w:horzAnchor="margin" w:tblpXSpec="center" w:tblpY="25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1"/>
        <w:gridCol w:w="1184"/>
      </w:tblGrid>
      <w:tr w:rsidR="00977B0B" w:rsidRPr="0084402E" w14:paraId="1445673D" w14:textId="77777777" w:rsidTr="0042101B">
        <w:trPr>
          <w:trHeight w:val="557"/>
        </w:trPr>
        <w:tc>
          <w:tcPr>
            <w:tcW w:w="0" w:type="auto"/>
          </w:tcPr>
          <w:p w14:paraId="3F50DB14" w14:textId="77777777" w:rsidR="00977B0B" w:rsidRPr="0084402E" w:rsidRDefault="00977B0B" w:rsidP="0042101B">
            <w:pPr>
              <w:spacing w:after="0" w:line="360" w:lineRule="auto"/>
              <w:rPr>
                <w:rFonts w:ascii="Arial" w:hAnsi="Arial" w:cs="Arial"/>
                <w:b/>
                <w:sz w:val="24"/>
                <w:szCs w:val="24"/>
                <w:highlight w:val="yellow"/>
              </w:rPr>
            </w:pPr>
            <w:r w:rsidRPr="0084402E">
              <w:rPr>
                <w:rFonts w:ascii="Arial" w:hAnsi="Arial" w:cs="Arial"/>
                <w:b/>
                <w:sz w:val="24"/>
                <w:szCs w:val="24"/>
              </w:rPr>
              <w:lastRenderedPageBreak/>
              <w:t>CONTENIDO</w:t>
            </w:r>
          </w:p>
        </w:tc>
        <w:tc>
          <w:tcPr>
            <w:tcW w:w="0" w:type="auto"/>
          </w:tcPr>
          <w:p w14:paraId="1BF1548D" w14:textId="77777777" w:rsidR="00977B0B" w:rsidRPr="0084402E" w:rsidRDefault="00977B0B" w:rsidP="0042101B">
            <w:pPr>
              <w:tabs>
                <w:tab w:val="left" w:pos="34"/>
                <w:tab w:val="center" w:pos="742"/>
              </w:tabs>
              <w:spacing w:after="0" w:line="360" w:lineRule="auto"/>
              <w:rPr>
                <w:rFonts w:ascii="Arial" w:hAnsi="Arial" w:cs="Arial"/>
                <w:b/>
                <w:sz w:val="24"/>
                <w:szCs w:val="24"/>
                <w:highlight w:val="yellow"/>
              </w:rPr>
            </w:pPr>
            <w:r w:rsidRPr="0084402E">
              <w:rPr>
                <w:rFonts w:ascii="Arial" w:hAnsi="Arial" w:cs="Arial"/>
                <w:b/>
                <w:sz w:val="24"/>
                <w:szCs w:val="24"/>
              </w:rPr>
              <w:tab/>
              <w:t>PÁGINA</w:t>
            </w:r>
          </w:p>
        </w:tc>
      </w:tr>
      <w:tr w:rsidR="00977B0B" w:rsidRPr="0084402E" w14:paraId="6831966E" w14:textId="77777777" w:rsidTr="0042101B">
        <w:tc>
          <w:tcPr>
            <w:tcW w:w="0" w:type="auto"/>
          </w:tcPr>
          <w:p w14:paraId="4596439C" w14:textId="77777777" w:rsidR="00977B0B" w:rsidRPr="0084402E" w:rsidRDefault="00977B0B" w:rsidP="0042101B">
            <w:pPr>
              <w:spacing w:after="0" w:line="360" w:lineRule="auto"/>
              <w:rPr>
                <w:rFonts w:ascii="Arial" w:hAnsi="Arial" w:cs="Arial"/>
                <w:sz w:val="24"/>
                <w:szCs w:val="24"/>
                <w:lang w:val="es-ES_tradnl"/>
              </w:rPr>
            </w:pPr>
            <w:r w:rsidRPr="0084402E">
              <w:rPr>
                <w:rFonts w:ascii="Arial" w:hAnsi="Arial" w:cs="Arial"/>
                <w:sz w:val="24"/>
                <w:szCs w:val="24"/>
                <w:lang w:val="es-ES_tradnl"/>
              </w:rPr>
              <w:t>Introducción</w:t>
            </w:r>
          </w:p>
        </w:tc>
        <w:tc>
          <w:tcPr>
            <w:tcW w:w="0" w:type="auto"/>
          </w:tcPr>
          <w:p w14:paraId="30AC9735" w14:textId="7D7CC2D8" w:rsidR="00977B0B" w:rsidRPr="0084402E" w:rsidRDefault="000C4926" w:rsidP="0042101B">
            <w:pPr>
              <w:spacing w:after="0" w:line="360" w:lineRule="auto"/>
              <w:jc w:val="center"/>
              <w:rPr>
                <w:rFonts w:ascii="Arial" w:hAnsi="Arial" w:cs="Arial"/>
                <w:sz w:val="24"/>
                <w:szCs w:val="24"/>
              </w:rPr>
            </w:pPr>
            <w:r>
              <w:rPr>
                <w:rFonts w:ascii="Arial" w:hAnsi="Arial" w:cs="Arial"/>
                <w:sz w:val="24"/>
                <w:szCs w:val="24"/>
              </w:rPr>
              <w:t>5</w:t>
            </w:r>
          </w:p>
        </w:tc>
      </w:tr>
      <w:tr w:rsidR="00977B0B" w:rsidRPr="0084402E" w14:paraId="7D62BFB0" w14:textId="77777777" w:rsidTr="0042101B">
        <w:tc>
          <w:tcPr>
            <w:tcW w:w="0" w:type="auto"/>
          </w:tcPr>
          <w:p w14:paraId="5164F36B" w14:textId="77777777" w:rsidR="00977B0B" w:rsidRPr="0084402E" w:rsidRDefault="00977B0B" w:rsidP="0042101B">
            <w:pPr>
              <w:spacing w:after="100" w:afterAutospacing="1" w:line="360" w:lineRule="auto"/>
              <w:contextualSpacing/>
              <w:jc w:val="both"/>
              <w:rPr>
                <w:rFonts w:ascii="Arial" w:eastAsiaTheme="minorEastAsia" w:hAnsi="Arial" w:cs="Arial"/>
                <w:sz w:val="24"/>
                <w:szCs w:val="24"/>
              </w:rPr>
            </w:pPr>
            <w:r w:rsidRPr="0084402E">
              <w:rPr>
                <w:rFonts w:ascii="Arial" w:hAnsi="Arial" w:cs="Arial"/>
                <w:sz w:val="24"/>
                <w:szCs w:val="24"/>
              </w:rPr>
              <w:t xml:space="preserve"> 1. </w:t>
            </w:r>
            <w:r w:rsidRPr="0084402E">
              <w:rPr>
                <w:rFonts w:ascii="Arial" w:eastAsiaTheme="minorEastAsia" w:hAnsi="Arial" w:cs="Arial"/>
                <w:sz w:val="24"/>
                <w:szCs w:val="24"/>
              </w:rPr>
              <w:t xml:space="preserve"> Características del Programa y del Fondo </w:t>
            </w:r>
          </w:p>
        </w:tc>
        <w:tc>
          <w:tcPr>
            <w:tcW w:w="0" w:type="auto"/>
          </w:tcPr>
          <w:p w14:paraId="28DB3A92" w14:textId="364BC856" w:rsidR="00977B0B" w:rsidRPr="0084402E" w:rsidRDefault="000C4926" w:rsidP="0042101B">
            <w:pPr>
              <w:spacing w:after="0" w:line="360" w:lineRule="auto"/>
              <w:jc w:val="center"/>
              <w:rPr>
                <w:rFonts w:ascii="Arial" w:hAnsi="Arial" w:cs="Arial"/>
                <w:sz w:val="24"/>
                <w:szCs w:val="24"/>
              </w:rPr>
            </w:pPr>
            <w:r>
              <w:rPr>
                <w:rFonts w:ascii="Arial" w:hAnsi="Arial" w:cs="Arial"/>
                <w:sz w:val="24"/>
                <w:szCs w:val="24"/>
              </w:rPr>
              <w:t>8</w:t>
            </w:r>
          </w:p>
        </w:tc>
      </w:tr>
      <w:tr w:rsidR="00977B0B" w:rsidRPr="0084402E" w14:paraId="1E2CA00D" w14:textId="77777777" w:rsidTr="0042101B">
        <w:tc>
          <w:tcPr>
            <w:tcW w:w="0" w:type="auto"/>
          </w:tcPr>
          <w:p w14:paraId="5060BC2C" w14:textId="77777777" w:rsidR="00977B0B" w:rsidRPr="0084402E" w:rsidRDefault="00977B0B" w:rsidP="0042101B">
            <w:pPr>
              <w:spacing w:after="100" w:afterAutospacing="1" w:line="360" w:lineRule="auto"/>
              <w:contextualSpacing/>
              <w:jc w:val="both"/>
              <w:rPr>
                <w:rFonts w:ascii="Arial" w:eastAsiaTheme="minorEastAsia" w:hAnsi="Arial" w:cs="Arial"/>
                <w:sz w:val="24"/>
                <w:szCs w:val="24"/>
              </w:rPr>
            </w:pPr>
            <w:r w:rsidRPr="0084402E">
              <w:rPr>
                <w:rFonts w:ascii="Arial" w:hAnsi="Arial" w:cs="Arial"/>
                <w:sz w:val="24"/>
                <w:szCs w:val="24"/>
              </w:rPr>
              <w:t xml:space="preserve"> 2. </w:t>
            </w:r>
            <w:r w:rsidRPr="0084402E">
              <w:rPr>
                <w:rFonts w:ascii="Arial" w:eastAsiaTheme="minorEastAsia" w:hAnsi="Arial" w:cs="Arial"/>
                <w:sz w:val="24"/>
                <w:szCs w:val="24"/>
              </w:rPr>
              <w:t xml:space="preserve"> Planeación Estratégica</w:t>
            </w:r>
          </w:p>
        </w:tc>
        <w:tc>
          <w:tcPr>
            <w:tcW w:w="0" w:type="auto"/>
          </w:tcPr>
          <w:p w14:paraId="2A1FB9EE" w14:textId="14516C6D" w:rsidR="00977B0B" w:rsidRPr="0084402E" w:rsidRDefault="000C4926" w:rsidP="0042101B">
            <w:pPr>
              <w:spacing w:after="0" w:line="360" w:lineRule="auto"/>
              <w:jc w:val="center"/>
              <w:rPr>
                <w:rFonts w:ascii="Arial" w:hAnsi="Arial" w:cs="Arial"/>
                <w:sz w:val="24"/>
                <w:szCs w:val="24"/>
              </w:rPr>
            </w:pPr>
            <w:r>
              <w:rPr>
                <w:rFonts w:ascii="Arial" w:hAnsi="Arial" w:cs="Arial"/>
                <w:sz w:val="24"/>
                <w:szCs w:val="24"/>
              </w:rPr>
              <w:t>17</w:t>
            </w:r>
          </w:p>
        </w:tc>
      </w:tr>
      <w:tr w:rsidR="00977B0B" w:rsidRPr="0084402E" w14:paraId="5CD26DC5" w14:textId="77777777" w:rsidTr="0042101B">
        <w:tc>
          <w:tcPr>
            <w:tcW w:w="0" w:type="auto"/>
          </w:tcPr>
          <w:p w14:paraId="3104DC3B" w14:textId="77777777" w:rsidR="00977B0B" w:rsidRPr="0084402E" w:rsidRDefault="00977B0B" w:rsidP="0042101B">
            <w:pPr>
              <w:spacing w:after="100" w:afterAutospacing="1" w:line="360" w:lineRule="auto"/>
              <w:contextualSpacing/>
              <w:jc w:val="both"/>
              <w:rPr>
                <w:rFonts w:ascii="Arial" w:eastAsiaTheme="minorEastAsia" w:hAnsi="Arial" w:cs="Arial"/>
                <w:sz w:val="24"/>
                <w:szCs w:val="24"/>
              </w:rPr>
            </w:pPr>
            <w:r w:rsidRPr="0084402E">
              <w:rPr>
                <w:rFonts w:ascii="Arial" w:hAnsi="Arial" w:cs="Arial"/>
                <w:sz w:val="24"/>
                <w:szCs w:val="24"/>
              </w:rPr>
              <w:t xml:space="preserve"> 3. </w:t>
            </w:r>
            <w:r w:rsidRPr="0084402E">
              <w:rPr>
                <w:rFonts w:ascii="Arial" w:eastAsiaTheme="minorEastAsia" w:hAnsi="Arial" w:cs="Arial"/>
                <w:sz w:val="24"/>
                <w:szCs w:val="24"/>
              </w:rPr>
              <w:t xml:space="preserve"> Cobertura de atención</w:t>
            </w:r>
          </w:p>
        </w:tc>
        <w:tc>
          <w:tcPr>
            <w:tcW w:w="0" w:type="auto"/>
          </w:tcPr>
          <w:p w14:paraId="22817E2E" w14:textId="12B95BA1" w:rsidR="00977B0B" w:rsidRPr="0084402E" w:rsidRDefault="000C4926" w:rsidP="0042101B">
            <w:pPr>
              <w:spacing w:after="0" w:line="360" w:lineRule="auto"/>
              <w:jc w:val="center"/>
              <w:rPr>
                <w:rFonts w:ascii="Arial" w:hAnsi="Arial" w:cs="Arial"/>
                <w:sz w:val="24"/>
                <w:szCs w:val="24"/>
              </w:rPr>
            </w:pPr>
            <w:r>
              <w:rPr>
                <w:rFonts w:ascii="Arial" w:hAnsi="Arial" w:cs="Arial"/>
                <w:sz w:val="24"/>
                <w:szCs w:val="24"/>
              </w:rPr>
              <w:t>21</w:t>
            </w:r>
          </w:p>
        </w:tc>
      </w:tr>
      <w:tr w:rsidR="00977B0B" w:rsidRPr="0084402E" w14:paraId="0F6FBCB7" w14:textId="77777777" w:rsidTr="0042101B">
        <w:tc>
          <w:tcPr>
            <w:tcW w:w="0" w:type="auto"/>
          </w:tcPr>
          <w:p w14:paraId="0FCA0E36" w14:textId="77777777" w:rsidR="00977B0B" w:rsidRPr="0084402E" w:rsidRDefault="00977B0B" w:rsidP="0042101B">
            <w:pPr>
              <w:spacing w:after="0" w:line="360" w:lineRule="auto"/>
              <w:rPr>
                <w:rFonts w:ascii="Arial" w:hAnsi="Arial" w:cs="Arial"/>
                <w:sz w:val="24"/>
                <w:szCs w:val="24"/>
              </w:rPr>
            </w:pPr>
            <w:r w:rsidRPr="0084402E">
              <w:rPr>
                <w:rFonts w:ascii="Arial" w:hAnsi="Arial" w:cs="Arial"/>
                <w:sz w:val="24"/>
                <w:szCs w:val="24"/>
              </w:rPr>
              <w:t xml:space="preserve"> 4. </w:t>
            </w:r>
            <w:r w:rsidRPr="0084402E">
              <w:rPr>
                <w:rFonts w:ascii="Arial" w:eastAsiaTheme="minorEastAsia" w:hAnsi="Arial" w:cs="Arial"/>
                <w:sz w:val="24"/>
                <w:szCs w:val="24"/>
              </w:rPr>
              <w:t xml:space="preserve"> Indicadores</w:t>
            </w:r>
          </w:p>
        </w:tc>
        <w:tc>
          <w:tcPr>
            <w:tcW w:w="0" w:type="auto"/>
          </w:tcPr>
          <w:p w14:paraId="558FF9D1" w14:textId="6BFCF4A5" w:rsidR="00977B0B" w:rsidRPr="0084402E" w:rsidRDefault="000C4926" w:rsidP="0042101B">
            <w:pPr>
              <w:spacing w:after="0" w:line="360" w:lineRule="auto"/>
              <w:jc w:val="center"/>
              <w:rPr>
                <w:rFonts w:ascii="Arial" w:hAnsi="Arial" w:cs="Arial"/>
                <w:sz w:val="24"/>
                <w:szCs w:val="24"/>
              </w:rPr>
            </w:pPr>
            <w:r>
              <w:rPr>
                <w:rFonts w:ascii="Arial" w:hAnsi="Arial" w:cs="Arial"/>
                <w:sz w:val="24"/>
                <w:szCs w:val="24"/>
              </w:rPr>
              <w:t>27</w:t>
            </w:r>
          </w:p>
        </w:tc>
      </w:tr>
      <w:tr w:rsidR="00977B0B" w:rsidRPr="0084402E" w14:paraId="58B15B0F" w14:textId="77777777" w:rsidTr="0042101B">
        <w:tc>
          <w:tcPr>
            <w:tcW w:w="0" w:type="auto"/>
          </w:tcPr>
          <w:p w14:paraId="4CA780A3" w14:textId="77777777" w:rsidR="00977B0B" w:rsidRPr="0084402E" w:rsidRDefault="00977B0B" w:rsidP="0042101B">
            <w:pPr>
              <w:spacing w:after="0" w:line="360" w:lineRule="auto"/>
              <w:rPr>
                <w:rFonts w:ascii="Arial" w:hAnsi="Arial" w:cs="Arial"/>
                <w:sz w:val="24"/>
                <w:szCs w:val="24"/>
              </w:rPr>
            </w:pPr>
            <w:r w:rsidRPr="0084402E">
              <w:rPr>
                <w:rFonts w:ascii="Arial" w:hAnsi="Arial" w:cs="Arial"/>
                <w:sz w:val="24"/>
                <w:szCs w:val="24"/>
              </w:rPr>
              <w:t xml:space="preserve"> 5. </w:t>
            </w:r>
            <w:r w:rsidRPr="0084402E">
              <w:rPr>
                <w:rFonts w:ascii="Arial" w:eastAsiaTheme="minorEastAsia" w:hAnsi="Arial" w:cs="Arial"/>
                <w:sz w:val="24"/>
                <w:szCs w:val="24"/>
              </w:rPr>
              <w:t xml:space="preserve"> Operación</w:t>
            </w:r>
          </w:p>
        </w:tc>
        <w:tc>
          <w:tcPr>
            <w:tcW w:w="0" w:type="auto"/>
          </w:tcPr>
          <w:p w14:paraId="50FEC3FB" w14:textId="624250E1" w:rsidR="00977B0B" w:rsidRPr="0084402E" w:rsidRDefault="000C4926" w:rsidP="0042101B">
            <w:pPr>
              <w:spacing w:after="0" w:line="360" w:lineRule="auto"/>
              <w:jc w:val="center"/>
              <w:rPr>
                <w:rFonts w:ascii="Arial" w:hAnsi="Arial" w:cs="Arial"/>
                <w:sz w:val="24"/>
                <w:szCs w:val="24"/>
              </w:rPr>
            </w:pPr>
            <w:r>
              <w:rPr>
                <w:rFonts w:ascii="Arial" w:hAnsi="Arial" w:cs="Arial"/>
                <w:sz w:val="24"/>
                <w:szCs w:val="24"/>
              </w:rPr>
              <w:t>36</w:t>
            </w:r>
          </w:p>
        </w:tc>
      </w:tr>
      <w:tr w:rsidR="00977B0B" w:rsidRPr="0084402E" w14:paraId="6B68F4FF" w14:textId="77777777" w:rsidTr="0042101B">
        <w:tc>
          <w:tcPr>
            <w:tcW w:w="0" w:type="auto"/>
          </w:tcPr>
          <w:p w14:paraId="26FF375A" w14:textId="77777777" w:rsidR="00977B0B" w:rsidRPr="0084402E" w:rsidRDefault="00977B0B" w:rsidP="0042101B">
            <w:pPr>
              <w:spacing w:after="0" w:line="360" w:lineRule="auto"/>
              <w:rPr>
                <w:rFonts w:ascii="Arial" w:hAnsi="Arial" w:cs="Arial"/>
                <w:sz w:val="24"/>
                <w:szCs w:val="24"/>
              </w:rPr>
            </w:pPr>
            <w:r w:rsidRPr="0084402E">
              <w:rPr>
                <w:rFonts w:ascii="Arial" w:hAnsi="Arial" w:cs="Arial"/>
                <w:sz w:val="24"/>
                <w:szCs w:val="24"/>
              </w:rPr>
              <w:t xml:space="preserve"> 6. </w:t>
            </w:r>
            <w:r w:rsidRPr="0084402E">
              <w:rPr>
                <w:rFonts w:ascii="Arial" w:eastAsiaTheme="minorEastAsia" w:hAnsi="Arial" w:cs="Arial"/>
                <w:sz w:val="24"/>
                <w:szCs w:val="24"/>
              </w:rPr>
              <w:t xml:space="preserve"> Administración Financiera</w:t>
            </w:r>
          </w:p>
        </w:tc>
        <w:tc>
          <w:tcPr>
            <w:tcW w:w="0" w:type="auto"/>
          </w:tcPr>
          <w:p w14:paraId="27FB3690" w14:textId="2525BA28" w:rsidR="00977B0B" w:rsidRPr="0084402E" w:rsidRDefault="000C4926" w:rsidP="0042101B">
            <w:pPr>
              <w:spacing w:after="0" w:line="360" w:lineRule="auto"/>
              <w:jc w:val="center"/>
              <w:rPr>
                <w:rFonts w:ascii="Arial" w:hAnsi="Arial" w:cs="Arial"/>
                <w:sz w:val="24"/>
                <w:szCs w:val="24"/>
              </w:rPr>
            </w:pPr>
            <w:r>
              <w:rPr>
                <w:rFonts w:ascii="Arial" w:hAnsi="Arial" w:cs="Arial"/>
                <w:sz w:val="24"/>
                <w:szCs w:val="24"/>
              </w:rPr>
              <w:t>44</w:t>
            </w:r>
          </w:p>
        </w:tc>
      </w:tr>
      <w:tr w:rsidR="00977B0B" w:rsidRPr="0084402E" w14:paraId="5DC40194" w14:textId="77777777" w:rsidTr="0042101B">
        <w:tc>
          <w:tcPr>
            <w:tcW w:w="0" w:type="auto"/>
          </w:tcPr>
          <w:p w14:paraId="348BCDCD" w14:textId="77777777" w:rsidR="00977B0B" w:rsidRPr="0084402E" w:rsidRDefault="00977B0B" w:rsidP="0042101B">
            <w:pPr>
              <w:spacing w:after="0" w:line="360" w:lineRule="auto"/>
              <w:rPr>
                <w:rFonts w:ascii="Arial" w:hAnsi="Arial" w:cs="Arial"/>
                <w:sz w:val="24"/>
                <w:szCs w:val="24"/>
              </w:rPr>
            </w:pPr>
            <w:r w:rsidRPr="0084402E">
              <w:rPr>
                <w:rFonts w:ascii="Arial" w:hAnsi="Arial" w:cs="Arial"/>
                <w:sz w:val="24"/>
                <w:szCs w:val="24"/>
              </w:rPr>
              <w:t xml:space="preserve"> 7. </w:t>
            </w:r>
            <w:r w:rsidRPr="0084402E">
              <w:rPr>
                <w:rFonts w:ascii="Arial" w:eastAsiaTheme="minorEastAsia" w:hAnsi="Arial" w:cs="Arial"/>
                <w:sz w:val="24"/>
                <w:szCs w:val="24"/>
              </w:rPr>
              <w:t xml:space="preserve"> Ejercicio de los Recursos</w:t>
            </w:r>
          </w:p>
        </w:tc>
        <w:tc>
          <w:tcPr>
            <w:tcW w:w="0" w:type="auto"/>
          </w:tcPr>
          <w:p w14:paraId="7263125A" w14:textId="33635205" w:rsidR="00977B0B" w:rsidRPr="0084402E" w:rsidRDefault="000C4926" w:rsidP="0042101B">
            <w:pPr>
              <w:spacing w:after="0" w:line="360" w:lineRule="auto"/>
              <w:jc w:val="center"/>
              <w:rPr>
                <w:rFonts w:ascii="Arial" w:hAnsi="Arial" w:cs="Arial"/>
                <w:sz w:val="24"/>
                <w:szCs w:val="24"/>
              </w:rPr>
            </w:pPr>
            <w:r>
              <w:rPr>
                <w:rFonts w:ascii="Arial" w:hAnsi="Arial" w:cs="Arial"/>
                <w:sz w:val="24"/>
                <w:szCs w:val="24"/>
              </w:rPr>
              <w:t>51</w:t>
            </w:r>
          </w:p>
        </w:tc>
      </w:tr>
      <w:tr w:rsidR="00977B0B" w:rsidRPr="0084402E" w14:paraId="5DCCCFB2" w14:textId="77777777" w:rsidTr="0042101B">
        <w:tc>
          <w:tcPr>
            <w:tcW w:w="0" w:type="auto"/>
          </w:tcPr>
          <w:p w14:paraId="437D6069" w14:textId="77777777" w:rsidR="00977B0B" w:rsidRPr="0084402E" w:rsidRDefault="00977B0B" w:rsidP="007860F6">
            <w:pPr>
              <w:spacing w:after="0" w:line="360" w:lineRule="auto"/>
              <w:rPr>
                <w:rFonts w:ascii="Arial" w:hAnsi="Arial" w:cs="Arial"/>
                <w:sz w:val="24"/>
                <w:szCs w:val="24"/>
              </w:rPr>
            </w:pPr>
            <w:r w:rsidRPr="0084402E">
              <w:rPr>
                <w:rFonts w:ascii="Arial" w:hAnsi="Arial" w:cs="Arial"/>
                <w:sz w:val="24"/>
                <w:szCs w:val="24"/>
              </w:rPr>
              <w:t xml:space="preserve"> 8. </w:t>
            </w:r>
            <w:r w:rsidRPr="0084402E">
              <w:rPr>
                <w:rFonts w:ascii="Arial" w:eastAsiaTheme="minorEastAsia" w:hAnsi="Arial" w:cs="Arial"/>
                <w:sz w:val="24"/>
                <w:szCs w:val="24"/>
              </w:rPr>
              <w:t xml:space="preserve"> Hallazgos</w:t>
            </w:r>
          </w:p>
        </w:tc>
        <w:tc>
          <w:tcPr>
            <w:tcW w:w="0" w:type="auto"/>
          </w:tcPr>
          <w:p w14:paraId="3BE86739" w14:textId="044E5A38" w:rsidR="00977B0B" w:rsidRPr="0084402E" w:rsidRDefault="000C4926" w:rsidP="0042101B">
            <w:pPr>
              <w:spacing w:after="0" w:line="360" w:lineRule="auto"/>
              <w:jc w:val="center"/>
              <w:rPr>
                <w:rFonts w:ascii="Arial" w:hAnsi="Arial" w:cs="Arial"/>
                <w:sz w:val="24"/>
                <w:szCs w:val="24"/>
              </w:rPr>
            </w:pPr>
            <w:r>
              <w:rPr>
                <w:rFonts w:ascii="Arial" w:hAnsi="Arial" w:cs="Arial"/>
                <w:sz w:val="24"/>
                <w:szCs w:val="24"/>
              </w:rPr>
              <w:t>55</w:t>
            </w:r>
          </w:p>
        </w:tc>
      </w:tr>
      <w:tr w:rsidR="00977B0B" w:rsidRPr="0084402E" w14:paraId="544F49BD" w14:textId="77777777" w:rsidTr="0042101B">
        <w:tc>
          <w:tcPr>
            <w:tcW w:w="0" w:type="auto"/>
          </w:tcPr>
          <w:p w14:paraId="1548BF47" w14:textId="77777777" w:rsidR="00977B0B" w:rsidRPr="0084402E" w:rsidRDefault="00977B0B" w:rsidP="007860F6">
            <w:pPr>
              <w:spacing w:after="0" w:line="360" w:lineRule="auto"/>
              <w:rPr>
                <w:rFonts w:ascii="Arial" w:hAnsi="Arial" w:cs="Arial"/>
                <w:sz w:val="24"/>
                <w:szCs w:val="24"/>
              </w:rPr>
            </w:pPr>
            <w:r w:rsidRPr="0084402E">
              <w:rPr>
                <w:rFonts w:ascii="Arial" w:hAnsi="Arial" w:cs="Arial"/>
                <w:sz w:val="24"/>
                <w:szCs w:val="24"/>
              </w:rPr>
              <w:t xml:space="preserve"> 9. Conclusiones</w:t>
            </w:r>
          </w:p>
        </w:tc>
        <w:tc>
          <w:tcPr>
            <w:tcW w:w="0" w:type="auto"/>
          </w:tcPr>
          <w:p w14:paraId="22DEB194" w14:textId="4CE7C5FF" w:rsidR="00977B0B" w:rsidRPr="0084402E" w:rsidRDefault="000C4926" w:rsidP="0042101B">
            <w:pPr>
              <w:spacing w:after="0" w:line="360" w:lineRule="auto"/>
              <w:jc w:val="center"/>
              <w:rPr>
                <w:rFonts w:ascii="Arial" w:hAnsi="Arial" w:cs="Arial"/>
                <w:sz w:val="24"/>
                <w:szCs w:val="24"/>
              </w:rPr>
            </w:pPr>
            <w:r>
              <w:rPr>
                <w:rFonts w:ascii="Arial" w:hAnsi="Arial" w:cs="Arial"/>
                <w:sz w:val="24"/>
                <w:szCs w:val="24"/>
              </w:rPr>
              <w:t>59</w:t>
            </w:r>
          </w:p>
        </w:tc>
      </w:tr>
      <w:tr w:rsidR="00977B0B" w:rsidRPr="0084402E" w14:paraId="175A8D3B" w14:textId="77777777" w:rsidTr="0042101B">
        <w:tc>
          <w:tcPr>
            <w:tcW w:w="0" w:type="auto"/>
          </w:tcPr>
          <w:p w14:paraId="00CCC2BD" w14:textId="77777777" w:rsidR="00977B0B" w:rsidRPr="0084402E" w:rsidRDefault="00977B0B" w:rsidP="0042101B">
            <w:pPr>
              <w:spacing w:after="0" w:line="360" w:lineRule="auto"/>
              <w:rPr>
                <w:rFonts w:ascii="Arial" w:hAnsi="Arial" w:cs="Arial"/>
                <w:sz w:val="24"/>
                <w:szCs w:val="24"/>
              </w:rPr>
            </w:pPr>
            <w:r w:rsidRPr="0084402E">
              <w:rPr>
                <w:rFonts w:ascii="Arial" w:hAnsi="Arial" w:cs="Arial"/>
                <w:sz w:val="24"/>
                <w:szCs w:val="24"/>
              </w:rPr>
              <w:t>ANEXOS</w:t>
            </w:r>
          </w:p>
        </w:tc>
        <w:tc>
          <w:tcPr>
            <w:tcW w:w="0" w:type="auto"/>
          </w:tcPr>
          <w:p w14:paraId="4A576F6D" w14:textId="72A3B58E" w:rsidR="00977B0B" w:rsidRPr="0084402E" w:rsidRDefault="000C4926" w:rsidP="0042101B">
            <w:pPr>
              <w:spacing w:after="0" w:line="360" w:lineRule="auto"/>
              <w:jc w:val="center"/>
              <w:rPr>
                <w:rFonts w:ascii="Arial" w:hAnsi="Arial" w:cs="Arial"/>
                <w:sz w:val="24"/>
                <w:szCs w:val="24"/>
              </w:rPr>
            </w:pPr>
            <w:r>
              <w:rPr>
                <w:rFonts w:ascii="Arial" w:hAnsi="Arial" w:cs="Arial"/>
                <w:sz w:val="24"/>
                <w:szCs w:val="24"/>
              </w:rPr>
              <w:t>63</w:t>
            </w:r>
          </w:p>
        </w:tc>
      </w:tr>
      <w:tr w:rsidR="00977B0B" w:rsidRPr="0084402E" w14:paraId="062BAE43" w14:textId="77777777" w:rsidTr="0042101B">
        <w:tc>
          <w:tcPr>
            <w:tcW w:w="0" w:type="auto"/>
          </w:tcPr>
          <w:p w14:paraId="07E8CD34" w14:textId="77777777" w:rsidR="00977B0B" w:rsidRPr="0084402E" w:rsidRDefault="00977B0B" w:rsidP="0042101B">
            <w:pPr>
              <w:spacing w:after="0" w:line="360" w:lineRule="auto"/>
              <w:rPr>
                <w:rFonts w:ascii="Arial" w:hAnsi="Arial" w:cs="Arial"/>
                <w:sz w:val="24"/>
                <w:szCs w:val="24"/>
                <w:lang w:val="es-ES_tradnl"/>
              </w:rPr>
            </w:pPr>
            <w:r w:rsidRPr="0084402E">
              <w:rPr>
                <w:rFonts w:ascii="Arial" w:eastAsiaTheme="minorEastAsia" w:hAnsi="Arial" w:cs="Arial"/>
                <w:sz w:val="24"/>
                <w:szCs w:val="24"/>
              </w:rPr>
              <w:t>Anexo I. Base de datos de gabinete utilizadas para el análisis en formato electrónico</w:t>
            </w:r>
          </w:p>
        </w:tc>
        <w:tc>
          <w:tcPr>
            <w:tcW w:w="0" w:type="auto"/>
          </w:tcPr>
          <w:p w14:paraId="09150349" w14:textId="0D78F456" w:rsidR="00977B0B" w:rsidRPr="0084402E" w:rsidRDefault="000C4926" w:rsidP="0042101B">
            <w:pPr>
              <w:spacing w:after="0" w:line="360" w:lineRule="auto"/>
              <w:jc w:val="center"/>
              <w:rPr>
                <w:rFonts w:ascii="Arial" w:hAnsi="Arial" w:cs="Arial"/>
                <w:sz w:val="24"/>
                <w:szCs w:val="24"/>
              </w:rPr>
            </w:pPr>
            <w:r>
              <w:rPr>
                <w:rFonts w:ascii="Arial" w:hAnsi="Arial" w:cs="Arial"/>
                <w:sz w:val="24"/>
                <w:szCs w:val="24"/>
              </w:rPr>
              <w:t>64</w:t>
            </w:r>
          </w:p>
        </w:tc>
      </w:tr>
      <w:tr w:rsidR="00977B0B" w:rsidRPr="0084402E" w14:paraId="029ED81D" w14:textId="77777777" w:rsidTr="0042101B">
        <w:tc>
          <w:tcPr>
            <w:tcW w:w="0" w:type="auto"/>
          </w:tcPr>
          <w:p w14:paraId="54C8F04B" w14:textId="77777777" w:rsidR="00977B0B" w:rsidRPr="0084402E" w:rsidRDefault="00977B0B" w:rsidP="007860F6">
            <w:pPr>
              <w:spacing w:after="0" w:line="360" w:lineRule="auto"/>
              <w:rPr>
                <w:rFonts w:ascii="Arial" w:hAnsi="Arial" w:cs="Arial"/>
                <w:sz w:val="24"/>
                <w:szCs w:val="24"/>
              </w:rPr>
            </w:pPr>
            <w:r w:rsidRPr="0084402E">
              <w:rPr>
                <w:rFonts w:ascii="Arial" w:eastAsiaTheme="minorEastAsia" w:hAnsi="Arial" w:cs="Arial"/>
                <w:sz w:val="24"/>
                <w:szCs w:val="24"/>
              </w:rPr>
              <w:t>Anexo II. Descripción del Fondo</w:t>
            </w:r>
          </w:p>
        </w:tc>
        <w:tc>
          <w:tcPr>
            <w:tcW w:w="0" w:type="auto"/>
          </w:tcPr>
          <w:p w14:paraId="3BB750AD" w14:textId="74424282" w:rsidR="00977B0B" w:rsidRPr="0084402E" w:rsidRDefault="000C4926" w:rsidP="0042101B">
            <w:pPr>
              <w:spacing w:after="0" w:line="360" w:lineRule="auto"/>
              <w:jc w:val="center"/>
              <w:rPr>
                <w:rFonts w:ascii="Arial" w:hAnsi="Arial" w:cs="Arial"/>
                <w:sz w:val="24"/>
                <w:szCs w:val="24"/>
              </w:rPr>
            </w:pPr>
            <w:r>
              <w:rPr>
                <w:rFonts w:ascii="Arial" w:hAnsi="Arial" w:cs="Arial"/>
                <w:sz w:val="24"/>
                <w:szCs w:val="24"/>
              </w:rPr>
              <w:t>71</w:t>
            </w:r>
          </w:p>
        </w:tc>
      </w:tr>
      <w:tr w:rsidR="00977B0B" w:rsidRPr="0084402E" w14:paraId="6CBAF7E4" w14:textId="77777777" w:rsidTr="0042101B">
        <w:tc>
          <w:tcPr>
            <w:tcW w:w="0" w:type="auto"/>
          </w:tcPr>
          <w:p w14:paraId="22D58D27" w14:textId="77777777" w:rsidR="00977B0B" w:rsidRPr="0084402E" w:rsidRDefault="00977B0B" w:rsidP="007860F6">
            <w:pPr>
              <w:spacing w:after="0" w:line="360" w:lineRule="auto"/>
              <w:rPr>
                <w:rFonts w:ascii="Arial" w:hAnsi="Arial" w:cs="Arial"/>
                <w:sz w:val="24"/>
                <w:szCs w:val="24"/>
              </w:rPr>
            </w:pPr>
            <w:r w:rsidRPr="0084402E">
              <w:rPr>
                <w:rFonts w:ascii="Arial" w:eastAsiaTheme="minorEastAsia" w:hAnsi="Arial" w:cs="Arial"/>
                <w:sz w:val="24"/>
                <w:szCs w:val="24"/>
              </w:rPr>
              <w:t>Anexo III. Análisis de Interno que incluya: Fortalezas, Retos y Recomendaciones</w:t>
            </w:r>
          </w:p>
        </w:tc>
        <w:tc>
          <w:tcPr>
            <w:tcW w:w="0" w:type="auto"/>
          </w:tcPr>
          <w:p w14:paraId="7594E8FC" w14:textId="2CFE6911" w:rsidR="00977B0B" w:rsidRPr="0084402E" w:rsidRDefault="000C4926" w:rsidP="0042101B">
            <w:pPr>
              <w:spacing w:after="0" w:line="360" w:lineRule="auto"/>
              <w:jc w:val="center"/>
              <w:rPr>
                <w:rFonts w:ascii="Arial" w:hAnsi="Arial" w:cs="Arial"/>
                <w:sz w:val="24"/>
                <w:szCs w:val="24"/>
              </w:rPr>
            </w:pPr>
            <w:r>
              <w:rPr>
                <w:rFonts w:ascii="Arial" w:hAnsi="Arial" w:cs="Arial"/>
                <w:sz w:val="24"/>
                <w:szCs w:val="24"/>
              </w:rPr>
              <w:t>74</w:t>
            </w:r>
          </w:p>
        </w:tc>
      </w:tr>
      <w:tr w:rsidR="00977B0B" w:rsidRPr="0084402E" w14:paraId="38D32445" w14:textId="77777777" w:rsidTr="0042101B">
        <w:tc>
          <w:tcPr>
            <w:tcW w:w="0" w:type="auto"/>
          </w:tcPr>
          <w:p w14:paraId="5BC4D8D7" w14:textId="77777777" w:rsidR="00977B0B" w:rsidRPr="0084402E" w:rsidRDefault="00977B0B" w:rsidP="0042101B">
            <w:pPr>
              <w:spacing w:after="0" w:line="360" w:lineRule="auto"/>
              <w:rPr>
                <w:rFonts w:ascii="Arial" w:hAnsi="Arial" w:cs="Arial"/>
                <w:sz w:val="24"/>
                <w:szCs w:val="24"/>
                <w:lang w:val="es-ES_tradnl"/>
              </w:rPr>
            </w:pPr>
            <w:r w:rsidRPr="0084402E">
              <w:rPr>
                <w:rFonts w:ascii="Arial" w:eastAsiaTheme="minorEastAsia" w:hAnsi="Arial" w:cs="Arial"/>
                <w:i/>
                <w:sz w:val="24"/>
                <w:szCs w:val="24"/>
              </w:rPr>
              <w:t>Anexo IV. Datos generales de la instancia técnica evaluadora y el Costo de la Evaluación</w:t>
            </w:r>
          </w:p>
        </w:tc>
        <w:tc>
          <w:tcPr>
            <w:tcW w:w="0" w:type="auto"/>
          </w:tcPr>
          <w:p w14:paraId="29BFA96B" w14:textId="3711841F" w:rsidR="00977B0B" w:rsidRPr="0084402E" w:rsidRDefault="000C4926" w:rsidP="0042101B">
            <w:pPr>
              <w:spacing w:after="0" w:line="360" w:lineRule="auto"/>
              <w:jc w:val="center"/>
              <w:rPr>
                <w:rFonts w:ascii="Arial" w:hAnsi="Arial" w:cs="Arial"/>
                <w:sz w:val="24"/>
                <w:szCs w:val="24"/>
              </w:rPr>
            </w:pPr>
            <w:r>
              <w:rPr>
                <w:rFonts w:ascii="Arial" w:hAnsi="Arial" w:cs="Arial"/>
                <w:sz w:val="24"/>
                <w:szCs w:val="24"/>
              </w:rPr>
              <w:t>82</w:t>
            </w:r>
          </w:p>
        </w:tc>
      </w:tr>
    </w:tbl>
    <w:p w14:paraId="17233FF7" w14:textId="77777777" w:rsidR="00977B0B" w:rsidRPr="0084402E" w:rsidRDefault="00977B0B" w:rsidP="004C0514">
      <w:pPr>
        <w:spacing w:after="0" w:line="360" w:lineRule="auto"/>
        <w:rPr>
          <w:rFonts w:ascii="Arial" w:eastAsiaTheme="minorEastAsia" w:hAnsi="Arial" w:cs="Arial"/>
          <w:sz w:val="24"/>
          <w:szCs w:val="24"/>
        </w:rPr>
      </w:pPr>
    </w:p>
    <w:p w14:paraId="3E59927D" w14:textId="77777777" w:rsidR="00C671F3" w:rsidRPr="0084402E" w:rsidRDefault="00977B0B" w:rsidP="004C0514">
      <w:pPr>
        <w:spacing w:after="0" w:line="240" w:lineRule="auto"/>
        <w:rPr>
          <w:rFonts w:ascii="Arial" w:eastAsiaTheme="minorEastAsia" w:hAnsi="Arial" w:cs="Arial"/>
          <w:sz w:val="24"/>
          <w:szCs w:val="24"/>
        </w:rPr>
      </w:pPr>
      <w:r w:rsidRPr="0084402E">
        <w:rPr>
          <w:rFonts w:ascii="Arial" w:eastAsiaTheme="minorEastAsia" w:hAnsi="Arial" w:cs="Arial"/>
          <w:sz w:val="24"/>
          <w:szCs w:val="24"/>
        </w:rPr>
        <w:br w:type="page"/>
      </w:r>
      <w:r w:rsidR="00E63324" w:rsidRPr="0084402E">
        <w:rPr>
          <w:rFonts w:ascii="Arial" w:eastAsiaTheme="minorEastAsia" w:hAnsi="Arial" w:cs="Arial"/>
          <w:b/>
          <w:sz w:val="24"/>
          <w:szCs w:val="24"/>
        </w:rPr>
        <w:lastRenderedPageBreak/>
        <w:t>INTRODUCCIÓN</w:t>
      </w:r>
      <w:r w:rsidR="0030232C" w:rsidRPr="0084402E">
        <w:rPr>
          <w:rFonts w:ascii="Arial" w:eastAsiaTheme="minorEastAsia" w:hAnsi="Arial" w:cs="Arial"/>
          <w:b/>
          <w:sz w:val="24"/>
          <w:szCs w:val="24"/>
        </w:rPr>
        <w:t xml:space="preserve"> </w:t>
      </w:r>
    </w:p>
    <w:p w14:paraId="0D55A240" w14:textId="77777777" w:rsidR="00E20C72" w:rsidRPr="0084402E" w:rsidRDefault="00E20C72" w:rsidP="004C0514">
      <w:pPr>
        <w:spacing w:after="0" w:line="360" w:lineRule="auto"/>
        <w:rPr>
          <w:rFonts w:ascii="Arial" w:eastAsiaTheme="minorEastAsia" w:hAnsi="Arial" w:cs="Arial"/>
          <w:sz w:val="24"/>
          <w:szCs w:val="24"/>
        </w:rPr>
      </w:pPr>
    </w:p>
    <w:p w14:paraId="293E26C0" w14:textId="62AA2839" w:rsidR="00E20C72" w:rsidRPr="0084402E" w:rsidRDefault="00E20C72" w:rsidP="00977B0B">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La evaluación Complementaria de Programas Presupuestarios que ejercen recursos de Fondos Federales del Ramo 33, implica realizar un análisis enfocado al resultado de los indicadores que miden directamente el desempe</w:t>
      </w:r>
      <w:r w:rsidR="006B744E" w:rsidRPr="0084402E">
        <w:rPr>
          <w:rFonts w:ascii="Arial" w:eastAsiaTheme="minorEastAsia" w:hAnsi="Arial" w:cs="Arial"/>
          <w:sz w:val="24"/>
          <w:szCs w:val="24"/>
        </w:rPr>
        <w:t>ño respecto a  objetivos, metas</w:t>
      </w:r>
      <w:r w:rsidRPr="0084402E">
        <w:rPr>
          <w:rFonts w:ascii="Arial" w:eastAsiaTheme="minorEastAsia" w:hAnsi="Arial" w:cs="Arial"/>
          <w:sz w:val="24"/>
          <w:szCs w:val="24"/>
        </w:rPr>
        <w:t xml:space="preserve"> y ejercicio de los recursos.</w:t>
      </w:r>
    </w:p>
    <w:p w14:paraId="506161C0" w14:textId="77777777" w:rsidR="00977B0B" w:rsidRPr="0084402E" w:rsidRDefault="00977B0B" w:rsidP="00977B0B">
      <w:pPr>
        <w:spacing w:after="0" w:line="360" w:lineRule="auto"/>
        <w:jc w:val="both"/>
        <w:rPr>
          <w:rFonts w:ascii="Arial" w:eastAsiaTheme="minorEastAsia" w:hAnsi="Arial" w:cs="Arial"/>
          <w:sz w:val="24"/>
          <w:szCs w:val="24"/>
        </w:rPr>
      </w:pPr>
    </w:p>
    <w:p w14:paraId="42EFDFF6" w14:textId="37FC91A4" w:rsidR="00E20C72" w:rsidRPr="0084402E" w:rsidRDefault="00E20C72" w:rsidP="00977B0B">
      <w:pPr>
        <w:spacing w:after="0" w:line="360" w:lineRule="auto"/>
        <w:jc w:val="both"/>
        <w:rPr>
          <w:rFonts w:ascii="Arial" w:eastAsiaTheme="minorEastAsia" w:hAnsi="Arial" w:cs="Arial"/>
          <w:sz w:val="24"/>
          <w:szCs w:val="24"/>
        </w:rPr>
      </w:pPr>
      <w:r w:rsidRPr="00315EF2">
        <w:rPr>
          <w:rFonts w:ascii="Arial" w:eastAsiaTheme="minorEastAsia" w:hAnsi="Arial" w:cs="Arial"/>
          <w:sz w:val="24"/>
          <w:szCs w:val="24"/>
        </w:rPr>
        <w:t>Este tipo de evaluación complementa los hallazgos de una evaluación previa inme</w:t>
      </w:r>
      <w:r w:rsidR="00977B0B" w:rsidRPr="00315EF2">
        <w:rPr>
          <w:rFonts w:ascii="Arial" w:eastAsiaTheme="minorEastAsia" w:hAnsi="Arial" w:cs="Arial"/>
          <w:sz w:val="24"/>
          <w:szCs w:val="24"/>
        </w:rPr>
        <w:t xml:space="preserve">diata, en este caso </w:t>
      </w:r>
      <w:r w:rsidR="001549BC" w:rsidRPr="00315EF2">
        <w:rPr>
          <w:rFonts w:ascii="Arial" w:eastAsiaTheme="minorEastAsia" w:hAnsi="Arial" w:cs="Arial"/>
          <w:sz w:val="24"/>
          <w:szCs w:val="24"/>
        </w:rPr>
        <w:t xml:space="preserve">del programa Rezago Educativo que opera recursos </w:t>
      </w:r>
      <w:r w:rsidR="00977B0B" w:rsidRPr="00315EF2">
        <w:rPr>
          <w:rFonts w:ascii="Arial" w:eastAsiaTheme="minorEastAsia" w:hAnsi="Arial" w:cs="Arial"/>
          <w:sz w:val="24"/>
          <w:szCs w:val="24"/>
        </w:rPr>
        <w:t xml:space="preserve">del Fondo de Aportaciones de Educación Tecnológica y de Adultos, </w:t>
      </w:r>
      <w:r w:rsidR="00CF2806" w:rsidRPr="00315EF2">
        <w:rPr>
          <w:rFonts w:ascii="Arial" w:eastAsiaTheme="minorEastAsia" w:hAnsi="Arial" w:cs="Arial"/>
          <w:sz w:val="24"/>
          <w:szCs w:val="24"/>
        </w:rPr>
        <w:t xml:space="preserve">en su destino específico de Educación para Adultos, </w:t>
      </w:r>
      <w:r w:rsidRPr="00315EF2">
        <w:rPr>
          <w:rFonts w:ascii="Arial" w:eastAsiaTheme="minorEastAsia" w:hAnsi="Arial" w:cs="Arial"/>
          <w:sz w:val="24"/>
          <w:szCs w:val="24"/>
        </w:rPr>
        <w:t>que permite corroborar información básica acerca de las características del Programa y del Fondo, su contribución y alineación con los objetivos de desarrollo, los indicadores a través de los cuales se mide su desempeño y el cumplimiento de las metas asociadas a los mismos, la cobertura de atención, la administración financiera y el ejercicio de los recursos.</w:t>
      </w:r>
    </w:p>
    <w:p w14:paraId="076FB8B6" w14:textId="77777777" w:rsidR="00CF2806" w:rsidRPr="0084402E" w:rsidRDefault="00CF2806" w:rsidP="00E20C72">
      <w:pPr>
        <w:spacing w:after="0" w:line="360" w:lineRule="auto"/>
        <w:jc w:val="both"/>
        <w:rPr>
          <w:rFonts w:ascii="Arial" w:eastAsiaTheme="minorEastAsia" w:hAnsi="Arial" w:cs="Arial"/>
          <w:sz w:val="24"/>
          <w:szCs w:val="24"/>
        </w:rPr>
      </w:pPr>
    </w:p>
    <w:p w14:paraId="640DD783" w14:textId="10F42519" w:rsidR="00CF2806" w:rsidRPr="0084402E" w:rsidRDefault="00CF2806" w:rsidP="00E20C72">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La evaluación se basa en el </w:t>
      </w:r>
      <w:r w:rsidR="00E20C72" w:rsidRPr="0084402E">
        <w:rPr>
          <w:rFonts w:ascii="Arial" w:eastAsiaTheme="minorEastAsia" w:hAnsi="Arial" w:cs="Arial"/>
          <w:sz w:val="24"/>
          <w:szCs w:val="24"/>
        </w:rPr>
        <w:t xml:space="preserve">“Modelo </w:t>
      </w:r>
      <w:r w:rsidR="00E20C72" w:rsidRPr="0084402E">
        <w:rPr>
          <w:rFonts w:ascii="Arial" w:eastAsiaTheme="minorEastAsia" w:hAnsi="Arial" w:cs="Arial"/>
          <w:i/>
          <w:sz w:val="24"/>
          <w:szCs w:val="24"/>
        </w:rPr>
        <w:t>de Evaluación Complementaria del Desempeño de los Programas Presupuestarios que ejercen recursos de Fondos Fed</w:t>
      </w:r>
      <w:r w:rsidRPr="0084402E">
        <w:rPr>
          <w:rFonts w:ascii="Arial" w:eastAsiaTheme="minorEastAsia" w:hAnsi="Arial" w:cs="Arial"/>
          <w:i/>
          <w:sz w:val="24"/>
          <w:szCs w:val="24"/>
        </w:rPr>
        <w:t>erales del Ramo General 33</w:t>
      </w:r>
      <w:r w:rsidR="006B744E" w:rsidRPr="0084402E">
        <w:rPr>
          <w:rFonts w:ascii="Arial" w:eastAsiaTheme="minorEastAsia" w:hAnsi="Arial" w:cs="Arial"/>
          <w:sz w:val="24"/>
          <w:szCs w:val="24"/>
        </w:rPr>
        <w:t>”, instrumentado por el e</w:t>
      </w:r>
      <w:r w:rsidRPr="0084402E">
        <w:rPr>
          <w:rFonts w:ascii="Arial" w:eastAsiaTheme="minorEastAsia" w:hAnsi="Arial" w:cs="Arial"/>
          <w:sz w:val="24"/>
          <w:szCs w:val="24"/>
        </w:rPr>
        <w:t>stado de Yucatán para mejorar la gestión y la decisión programática presupuestal de los Programas Presupuestarios que incluyen Componentes (bienes y servicios) cuya fuente</w:t>
      </w:r>
      <w:r w:rsidR="0030232C" w:rsidRPr="0084402E">
        <w:rPr>
          <w:rFonts w:ascii="Arial" w:eastAsiaTheme="minorEastAsia" w:hAnsi="Arial" w:cs="Arial"/>
          <w:sz w:val="24"/>
          <w:szCs w:val="24"/>
        </w:rPr>
        <w:t xml:space="preserve"> de financiamiento es un Fondo F</w:t>
      </w:r>
      <w:r w:rsidRPr="0084402E">
        <w:rPr>
          <w:rFonts w:ascii="Arial" w:eastAsiaTheme="minorEastAsia" w:hAnsi="Arial" w:cs="Arial"/>
          <w:sz w:val="24"/>
          <w:szCs w:val="24"/>
        </w:rPr>
        <w:t>ederal</w:t>
      </w:r>
      <w:r w:rsidR="0030232C" w:rsidRPr="0084402E">
        <w:rPr>
          <w:rFonts w:ascii="Arial" w:eastAsiaTheme="minorEastAsia" w:hAnsi="Arial" w:cs="Arial"/>
          <w:sz w:val="24"/>
          <w:szCs w:val="24"/>
        </w:rPr>
        <w:t>.</w:t>
      </w:r>
    </w:p>
    <w:p w14:paraId="02119BAE" w14:textId="77777777" w:rsidR="0030232C" w:rsidRPr="0084402E" w:rsidRDefault="0030232C" w:rsidP="00E20C72">
      <w:pPr>
        <w:spacing w:after="0" w:line="360" w:lineRule="auto"/>
        <w:jc w:val="both"/>
        <w:rPr>
          <w:rFonts w:ascii="Arial" w:eastAsiaTheme="minorEastAsia" w:hAnsi="Arial" w:cs="Arial"/>
          <w:sz w:val="24"/>
          <w:szCs w:val="24"/>
        </w:rPr>
      </w:pPr>
    </w:p>
    <w:p w14:paraId="788E0294" w14:textId="77777777" w:rsidR="00E20C72" w:rsidRPr="0084402E" w:rsidRDefault="00E20C72" w:rsidP="00E20C72">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Este modelo permite analizar información y datos fundamentales de puntos específicos-clave en los siguientes temas: Características del Programa y del Fondo; Planeación Estratégica; Cobertura de Atención; Indicadores; Operación; Administración Financiera; y Ejercicio de los Recursos.</w:t>
      </w:r>
    </w:p>
    <w:p w14:paraId="7B05D396" w14:textId="77777777" w:rsidR="0030232C" w:rsidRPr="0084402E" w:rsidRDefault="0030232C" w:rsidP="00E20C72">
      <w:pPr>
        <w:spacing w:after="0" w:line="360" w:lineRule="auto"/>
        <w:jc w:val="both"/>
        <w:rPr>
          <w:rFonts w:ascii="Arial" w:eastAsiaTheme="minorEastAsia" w:hAnsi="Arial" w:cs="Arial"/>
          <w:sz w:val="24"/>
          <w:szCs w:val="24"/>
        </w:rPr>
      </w:pPr>
    </w:p>
    <w:p w14:paraId="299320F2" w14:textId="62D1395C" w:rsidR="00E20C72" w:rsidRPr="0084402E" w:rsidRDefault="0030232C" w:rsidP="00E20C72">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La evaluación que se presenta en este informe se realizó con el objetivo</w:t>
      </w:r>
      <w:r w:rsidR="000F2971" w:rsidRPr="0084402E">
        <w:rPr>
          <w:rFonts w:ascii="Arial" w:eastAsiaTheme="minorEastAsia" w:hAnsi="Arial" w:cs="Arial"/>
          <w:sz w:val="24"/>
          <w:szCs w:val="24"/>
        </w:rPr>
        <w:t xml:space="preserve"> de</w:t>
      </w:r>
      <w:r w:rsidRPr="0084402E">
        <w:rPr>
          <w:rFonts w:ascii="Arial" w:eastAsiaTheme="minorEastAsia" w:hAnsi="Arial" w:cs="Arial"/>
          <w:sz w:val="24"/>
          <w:szCs w:val="24"/>
        </w:rPr>
        <w:t xml:space="preserve"> evaluar </w:t>
      </w:r>
      <w:r w:rsidR="00E20C72" w:rsidRPr="0084402E">
        <w:rPr>
          <w:rFonts w:ascii="Arial" w:eastAsiaTheme="minorEastAsia" w:hAnsi="Arial" w:cs="Arial"/>
          <w:sz w:val="24"/>
          <w:szCs w:val="24"/>
        </w:rPr>
        <w:t xml:space="preserve">de manera complementaria el desempeño del Fondo en cuanto al cumplimiento de objetivos y </w:t>
      </w:r>
      <w:r w:rsidR="00E20C72" w:rsidRPr="0084402E">
        <w:rPr>
          <w:rFonts w:ascii="Arial" w:eastAsiaTheme="minorEastAsia" w:hAnsi="Arial" w:cs="Arial"/>
          <w:sz w:val="24"/>
          <w:szCs w:val="24"/>
        </w:rPr>
        <w:lastRenderedPageBreak/>
        <w:t>metas, y la orientación de los recursos, a fin de que los resultados de este análisis p</w:t>
      </w:r>
      <w:r w:rsidR="000F2971" w:rsidRPr="0084402E">
        <w:rPr>
          <w:rFonts w:ascii="Arial" w:eastAsiaTheme="minorEastAsia" w:hAnsi="Arial" w:cs="Arial"/>
          <w:sz w:val="24"/>
          <w:szCs w:val="24"/>
        </w:rPr>
        <w:t>rovean información que coadyuve</w:t>
      </w:r>
      <w:r w:rsidR="00E20C72" w:rsidRPr="0084402E">
        <w:rPr>
          <w:rFonts w:ascii="Arial" w:eastAsiaTheme="minorEastAsia" w:hAnsi="Arial" w:cs="Arial"/>
          <w:sz w:val="24"/>
          <w:szCs w:val="24"/>
        </w:rPr>
        <w:t xml:space="preserve"> a mejorar</w:t>
      </w:r>
      <w:r w:rsidR="00BE3BB2" w:rsidRPr="0084402E">
        <w:rPr>
          <w:rFonts w:ascii="Arial" w:eastAsiaTheme="minorEastAsia" w:hAnsi="Arial" w:cs="Arial"/>
          <w:sz w:val="24"/>
          <w:szCs w:val="24"/>
        </w:rPr>
        <w:t xml:space="preserve"> su eficacia y eficiencia</w:t>
      </w:r>
      <w:r w:rsidR="00E20C72" w:rsidRPr="0084402E">
        <w:rPr>
          <w:rFonts w:ascii="Arial" w:eastAsiaTheme="minorEastAsia" w:hAnsi="Arial" w:cs="Arial"/>
          <w:sz w:val="24"/>
          <w:szCs w:val="24"/>
        </w:rPr>
        <w:t>.</w:t>
      </w:r>
    </w:p>
    <w:p w14:paraId="0C63BCB5" w14:textId="77777777" w:rsidR="00E20C72" w:rsidRPr="0084402E" w:rsidRDefault="00E20C72" w:rsidP="00E20C72">
      <w:pPr>
        <w:spacing w:after="0" w:line="360" w:lineRule="auto"/>
        <w:jc w:val="both"/>
        <w:rPr>
          <w:rFonts w:ascii="Arial" w:eastAsiaTheme="minorEastAsia" w:hAnsi="Arial" w:cs="Arial"/>
          <w:sz w:val="24"/>
          <w:szCs w:val="24"/>
        </w:rPr>
      </w:pPr>
    </w:p>
    <w:p w14:paraId="694B2898" w14:textId="77777777" w:rsidR="0030232C" w:rsidRPr="0084402E" w:rsidRDefault="0030232C" w:rsidP="00E20C72">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Los aspectos que se evaluaron fueron los siguientes. </w:t>
      </w:r>
    </w:p>
    <w:p w14:paraId="03613BF2" w14:textId="77777777" w:rsidR="0030232C" w:rsidRPr="0084402E" w:rsidRDefault="00E20C72" w:rsidP="00E20C72">
      <w:pPr>
        <w:pStyle w:val="Prrafodelista"/>
        <w:numPr>
          <w:ilvl w:val="0"/>
          <w:numId w:val="21"/>
        </w:num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Características del Programa y del Fondo. Contiene la información básica acerca de las características del Programa y del Fondo, que incluye la definición, justificación, población beneficiaria o área de enfoque de los bienes y servicios que lo componen, y los recursos financieros implicados en su ejecución.</w:t>
      </w:r>
    </w:p>
    <w:p w14:paraId="44455588" w14:textId="77777777" w:rsidR="0030232C" w:rsidRPr="0084402E" w:rsidRDefault="00E20C72" w:rsidP="00E20C72">
      <w:pPr>
        <w:pStyle w:val="Prrafodelista"/>
        <w:numPr>
          <w:ilvl w:val="0"/>
          <w:numId w:val="21"/>
        </w:num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Planeación Estratégica.</w:t>
      </w:r>
      <w:r w:rsidR="007D5573" w:rsidRPr="0084402E">
        <w:rPr>
          <w:rFonts w:ascii="Arial" w:eastAsiaTheme="minorEastAsia" w:hAnsi="Arial" w:cs="Arial"/>
          <w:sz w:val="24"/>
          <w:szCs w:val="24"/>
        </w:rPr>
        <w:t xml:space="preserve"> </w:t>
      </w:r>
      <w:r w:rsidRPr="0084402E">
        <w:rPr>
          <w:rFonts w:ascii="Arial" w:eastAsiaTheme="minorEastAsia" w:hAnsi="Arial" w:cs="Arial"/>
          <w:sz w:val="24"/>
          <w:szCs w:val="24"/>
        </w:rPr>
        <w:t>En este tema se analiza la contribución y alineación del Programa Presupuestario al Plan Nacional de Desarrollo, Plan Estatal de Desarrollo y al Programa Sectorial.</w:t>
      </w:r>
    </w:p>
    <w:p w14:paraId="32EF1919" w14:textId="77777777" w:rsidR="0030232C" w:rsidRPr="0084402E" w:rsidRDefault="00E20C72" w:rsidP="00E20C72">
      <w:pPr>
        <w:pStyle w:val="Prrafodelista"/>
        <w:numPr>
          <w:ilvl w:val="0"/>
          <w:numId w:val="21"/>
        </w:num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Cobertura de atención del Fondo. Analiza el cumplimiento de metas considerando a la Población Potencial, Objetivo y Atendida.</w:t>
      </w:r>
    </w:p>
    <w:p w14:paraId="19A2B3FE" w14:textId="77777777" w:rsidR="0030232C" w:rsidRPr="0084402E" w:rsidRDefault="00E20C72" w:rsidP="00E20C72">
      <w:pPr>
        <w:pStyle w:val="Prrafodelista"/>
        <w:numPr>
          <w:ilvl w:val="0"/>
          <w:numId w:val="21"/>
        </w:num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Indicadores. Este tema tiene como fin identificar el grado de avance de los indicadores de desempeño establecidos en la MIR Estatal y en la Ficha de Indicadores Estatal y Federal correspondiente.</w:t>
      </w:r>
    </w:p>
    <w:p w14:paraId="11DFDDEF" w14:textId="77777777" w:rsidR="0030232C" w:rsidRPr="0084402E" w:rsidRDefault="00E20C72" w:rsidP="00E20C72">
      <w:pPr>
        <w:pStyle w:val="Prrafodelista"/>
        <w:numPr>
          <w:ilvl w:val="0"/>
          <w:numId w:val="21"/>
        </w:num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Operación del Programa y del Fondo. Este tema busca analizar la normatividad aplicable al Programa y al Fondo en cuanto a Reglas de Operación (ROP), y/o Manual de Organización o Procedimientos.</w:t>
      </w:r>
    </w:p>
    <w:p w14:paraId="5451D850" w14:textId="77777777" w:rsidR="0030232C" w:rsidRPr="0084402E" w:rsidRDefault="00E20C72" w:rsidP="00E20C72">
      <w:pPr>
        <w:pStyle w:val="Prrafodelista"/>
        <w:numPr>
          <w:ilvl w:val="0"/>
          <w:numId w:val="21"/>
        </w:num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Administración Financiera. Este tema analiza el grado de cumplimiento en la aplicación de los recursos en tiempo y forma de acuerdo a los objetivos del Programa. </w:t>
      </w:r>
    </w:p>
    <w:p w14:paraId="62E461A2" w14:textId="77777777" w:rsidR="00E20C72" w:rsidRPr="0084402E" w:rsidRDefault="00E20C72" w:rsidP="00E20C72">
      <w:pPr>
        <w:pStyle w:val="Prrafodelista"/>
        <w:numPr>
          <w:ilvl w:val="0"/>
          <w:numId w:val="21"/>
        </w:num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Ejercicio de los Recursos.</w:t>
      </w:r>
      <w:r w:rsidR="00BD7014" w:rsidRPr="0084402E">
        <w:rPr>
          <w:rFonts w:ascii="Arial" w:eastAsiaTheme="minorEastAsia" w:hAnsi="Arial" w:cs="Arial"/>
          <w:sz w:val="24"/>
          <w:szCs w:val="24"/>
        </w:rPr>
        <w:t xml:space="preserve"> </w:t>
      </w:r>
      <w:r w:rsidRPr="0084402E">
        <w:rPr>
          <w:rFonts w:ascii="Arial" w:eastAsiaTheme="minorEastAsia" w:hAnsi="Arial" w:cs="Arial"/>
          <w:sz w:val="24"/>
          <w:szCs w:val="24"/>
        </w:rPr>
        <w:t xml:space="preserve">Analiza el ejercicio de los recursos del Programa. </w:t>
      </w:r>
    </w:p>
    <w:p w14:paraId="6E826541" w14:textId="77777777" w:rsidR="00E20C72" w:rsidRPr="0084402E" w:rsidRDefault="00E20C72" w:rsidP="00E20C72">
      <w:pPr>
        <w:spacing w:after="0" w:line="360" w:lineRule="auto"/>
        <w:jc w:val="both"/>
        <w:rPr>
          <w:rFonts w:ascii="Arial" w:eastAsiaTheme="minorEastAsia" w:hAnsi="Arial" w:cs="Arial"/>
          <w:sz w:val="24"/>
          <w:szCs w:val="24"/>
        </w:rPr>
      </w:pPr>
    </w:p>
    <w:p w14:paraId="36A4FDA4" w14:textId="3B6FB6E3" w:rsidR="005F4771" w:rsidRPr="00207CD0" w:rsidRDefault="00E20C72" w:rsidP="00207CD0">
      <w:pPr>
        <w:widowControl w:val="0"/>
        <w:autoSpaceDE w:val="0"/>
        <w:autoSpaceDN w:val="0"/>
        <w:adjustRightInd w:val="0"/>
        <w:spacing w:after="240" w:line="340" w:lineRule="atLeast"/>
        <w:jc w:val="both"/>
        <w:rPr>
          <w:rFonts w:ascii="Times" w:eastAsiaTheme="minorEastAsia" w:hAnsi="Times" w:cs="Times"/>
          <w:sz w:val="24"/>
          <w:szCs w:val="24"/>
          <w:lang w:val="es-ES_tradnl" w:eastAsia="es-ES"/>
        </w:rPr>
      </w:pPr>
      <w:r w:rsidRPr="0084402E">
        <w:rPr>
          <w:rFonts w:ascii="Arial" w:eastAsiaTheme="minorEastAsia" w:hAnsi="Arial" w:cs="Arial"/>
          <w:sz w:val="24"/>
          <w:szCs w:val="24"/>
        </w:rPr>
        <w:t>La Metodología de Evaluación Complementaria del Desempeño c</w:t>
      </w:r>
      <w:r w:rsidR="00CE73BC" w:rsidRPr="0084402E">
        <w:rPr>
          <w:rFonts w:ascii="Arial" w:eastAsiaTheme="minorEastAsia" w:hAnsi="Arial" w:cs="Arial"/>
          <w:sz w:val="24"/>
          <w:szCs w:val="24"/>
        </w:rPr>
        <w:t>onsistió</w:t>
      </w:r>
      <w:r w:rsidRPr="0084402E">
        <w:rPr>
          <w:rFonts w:ascii="Arial" w:eastAsiaTheme="minorEastAsia" w:hAnsi="Arial" w:cs="Arial"/>
          <w:sz w:val="24"/>
          <w:szCs w:val="24"/>
        </w:rPr>
        <w:t xml:space="preserve"> en realizar un análisis de gabinete y responder de manera argumentada, sustentada y congruente a las preguntas metodológicas </w:t>
      </w:r>
      <w:r w:rsidR="00CE73BC" w:rsidRPr="0084402E">
        <w:rPr>
          <w:rFonts w:ascii="Arial" w:eastAsiaTheme="minorEastAsia" w:hAnsi="Arial" w:cs="Arial"/>
          <w:sz w:val="24"/>
          <w:szCs w:val="24"/>
        </w:rPr>
        <w:t>que la conforman, y que fueron establecidas en  los términos de referencia diseñados por el estado de Yucatán</w:t>
      </w:r>
      <w:r w:rsidR="007D5573" w:rsidRPr="0084402E">
        <w:rPr>
          <w:rFonts w:ascii="Arial" w:eastAsiaTheme="minorEastAsia" w:hAnsi="Arial" w:cs="Arial"/>
          <w:sz w:val="24"/>
          <w:szCs w:val="24"/>
        </w:rPr>
        <w:t xml:space="preserve"> con base en el modelo mencionado.</w:t>
      </w:r>
      <w:r w:rsidR="00CE73BC" w:rsidRPr="0084402E">
        <w:rPr>
          <w:rFonts w:ascii="Arial" w:eastAsiaTheme="minorEastAsia" w:hAnsi="Arial" w:cs="Arial"/>
          <w:sz w:val="24"/>
          <w:szCs w:val="24"/>
        </w:rPr>
        <w:t xml:space="preserve"> </w:t>
      </w:r>
      <w:r w:rsidRPr="0084402E">
        <w:rPr>
          <w:rFonts w:ascii="Arial" w:eastAsiaTheme="minorEastAsia" w:hAnsi="Arial" w:cs="Arial"/>
          <w:sz w:val="24"/>
          <w:szCs w:val="24"/>
        </w:rPr>
        <w:t>Algunas de las preguntas incluyen en su respuesta el completar cuadros o tablas previamente establecidas y colocadas debajo de la misma.</w:t>
      </w:r>
      <w:r w:rsidR="00CE73BC" w:rsidRPr="0084402E">
        <w:rPr>
          <w:rFonts w:ascii="Arial" w:eastAsiaTheme="minorEastAsia" w:hAnsi="Arial" w:cs="Arial"/>
          <w:sz w:val="24"/>
          <w:szCs w:val="24"/>
        </w:rPr>
        <w:t xml:space="preserve"> </w:t>
      </w:r>
      <w:r w:rsidRPr="0084402E">
        <w:rPr>
          <w:rFonts w:ascii="Arial" w:eastAsiaTheme="minorEastAsia" w:hAnsi="Arial" w:cs="Arial"/>
          <w:sz w:val="24"/>
          <w:szCs w:val="24"/>
        </w:rPr>
        <w:t xml:space="preserve">La información que sustenta esta evaluación </w:t>
      </w:r>
      <w:r w:rsidR="00CE73BC" w:rsidRPr="0084402E">
        <w:rPr>
          <w:rFonts w:ascii="Arial" w:eastAsiaTheme="minorEastAsia" w:hAnsi="Arial" w:cs="Arial"/>
          <w:sz w:val="24"/>
          <w:szCs w:val="24"/>
        </w:rPr>
        <w:lastRenderedPageBreak/>
        <w:t>fue</w:t>
      </w:r>
      <w:r w:rsidR="007D5573" w:rsidRPr="0084402E">
        <w:rPr>
          <w:rFonts w:ascii="Arial" w:eastAsiaTheme="minorEastAsia" w:hAnsi="Arial" w:cs="Arial"/>
          <w:sz w:val="24"/>
          <w:szCs w:val="24"/>
        </w:rPr>
        <w:t xml:space="preserve"> proporcionada por el ente p</w:t>
      </w:r>
      <w:r w:rsidRPr="0084402E">
        <w:rPr>
          <w:rFonts w:ascii="Arial" w:eastAsiaTheme="minorEastAsia" w:hAnsi="Arial" w:cs="Arial"/>
          <w:sz w:val="24"/>
          <w:szCs w:val="24"/>
        </w:rPr>
        <w:t>úblico responsable de la ejecución del Fondo</w:t>
      </w:r>
      <w:r w:rsidRPr="00315EF2">
        <w:rPr>
          <w:rFonts w:ascii="Arial" w:eastAsiaTheme="minorEastAsia" w:hAnsi="Arial" w:cs="Arial"/>
          <w:sz w:val="24"/>
          <w:szCs w:val="24"/>
        </w:rPr>
        <w:t xml:space="preserve">, así como por información adicional </w:t>
      </w:r>
      <w:r w:rsidR="007D5573" w:rsidRPr="00315EF2">
        <w:rPr>
          <w:rFonts w:ascii="Arial" w:eastAsiaTheme="minorEastAsia" w:hAnsi="Arial" w:cs="Arial"/>
          <w:sz w:val="24"/>
          <w:szCs w:val="24"/>
        </w:rPr>
        <w:t xml:space="preserve">proporcionada por </w:t>
      </w:r>
      <w:r w:rsidRPr="00315EF2">
        <w:rPr>
          <w:rFonts w:ascii="Arial" w:eastAsiaTheme="minorEastAsia" w:hAnsi="Arial" w:cs="Arial"/>
          <w:sz w:val="24"/>
          <w:szCs w:val="24"/>
        </w:rPr>
        <w:t>la Dirección General de Presupuesto y Gasto Público de la Secretaría de Administración y Finanzas</w:t>
      </w:r>
      <w:r w:rsidR="006B1F60" w:rsidRPr="00315EF2">
        <w:rPr>
          <w:rFonts w:ascii="Arial" w:eastAsiaTheme="minorEastAsia" w:hAnsi="Arial" w:cs="Arial"/>
          <w:sz w:val="24"/>
          <w:szCs w:val="24"/>
        </w:rPr>
        <w:t xml:space="preserve"> y por la Secretaría Técnica del Gabinete, Planeación y Evaluación</w:t>
      </w:r>
      <w:r w:rsidR="00256F01" w:rsidRPr="00315EF2">
        <w:rPr>
          <w:rFonts w:ascii="Arial" w:eastAsiaTheme="minorEastAsia" w:hAnsi="Arial" w:cs="Arial"/>
          <w:sz w:val="24"/>
          <w:szCs w:val="24"/>
        </w:rPr>
        <w:t xml:space="preserve">. Después del análisis de cada tema, se describen los hallazgos generales y se establecen las conclusiones. </w:t>
      </w:r>
      <w:r w:rsidR="000E7CA9" w:rsidRPr="00315EF2">
        <w:rPr>
          <w:rFonts w:ascii="Arial" w:eastAsiaTheme="minorEastAsia" w:hAnsi="Arial" w:cs="Arial"/>
          <w:sz w:val="24"/>
          <w:szCs w:val="24"/>
        </w:rPr>
        <w:t>En los anexos se incluye</w:t>
      </w:r>
      <w:r w:rsidR="000E7CA9" w:rsidRPr="0084402E">
        <w:rPr>
          <w:rFonts w:ascii="Arial" w:eastAsiaTheme="minorEastAsia" w:hAnsi="Arial" w:cs="Arial"/>
          <w:sz w:val="24"/>
          <w:szCs w:val="24"/>
        </w:rPr>
        <w:t xml:space="preserve"> un análisis de fortalezas retos y recomendaciones </w:t>
      </w:r>
      <w:r w:rsidR="00193586">
        <w:rPr>
          <w:rFonts w:ascii="Arial" w:eastAsiaTheme="minorEastAsia" w:hAnsi="Arial" w:cs="Arial"/>
          <w:sz w:val="24"/>
          <w:szCs w:val="24"/>
        </w:rPr>
        <w:t>que se refieren a todo</w:t>
      </w:r>
      <w:r w:rsidR="006C468F" w:rsidRPr="0084402E">
        <w:rPr>
          <w:rFonts w:ascii="Arial" w:eastAsiaTheme="minorEastAsia" w:hAnsi="Arial" w:cs="Arial"/>
          <w:sz w:val="24"/>
          <w:szCs w:val="24"/>
        </w:rPr>
        <w:t xml:space="preserve">s los temas analizados en general. </w:t>
      </w:r>
      <w:r w:rsidR="00A65947" w:rsidRPr="0084402E">
        <w:rPr>
          <w:rFonts w:ascii="Arial" w:eastAsiaTheme="minorEastAsia" w:hAnsi="Arial" w:cs="Arial"/>
          <w:sz w:val="24"/>
          <w:szCs w:val="24"/>
        </w:rPr>
        <w:t>También como anexos se incluye</w:t>
      </w:r>
      <w:r w:rsidR="000E0712" w:rsidRPr="0084402E">
        <w:rPr>
          <w:rFonts w:ascii="Arial" w:eastAsiaTheme="minorEastAsia" w:hAnsi="Arial" w:cs="Arial"/>
          <w:sz w:val="24"/>
          <w:szCs w:val="24"/>
        </w:rPr>
        <w:t xml:space="preserve"> un listado de las bases de datos y fuentes de información utilizadas para el análisis, así como una descripción del Fondo.</w:t>
      </w:r>
    </w:p>
    <w:p w14:paraId="1B7373EA" w14:textId="72A33F43" w:rsidR="00B7588B" w:rsidRPr="0084402E" w:rsidRDefault="000E0712" w:rsidP="00E20C72">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 </w:t>
      </w:r>
      <w:r w:rsidR="00B7588B" w:rsidRPr="0084402E">
        <w:rPr>
          <w:rFonts w:ascii="Arial" w:eastAsiaTheme="minorEastAsia" w:hAnsi="Arial" w:cs="Arial"/>
          <w:sz w:val="24"/>
          <w:szCs w:val="24"/>
        </w:rPr>
        <w:br w:type="page"/>
      </w:r>
    </w:p>
    <w:p w14:paraId="373290E1" w14:textId="77777777" w:rsidR="00E20C72" w:rsidRPr="0084402E" w:rsidRDefault="00E20C72" w:rsidP="004C0514">
      <w:pPr>
        <w:spacing w:after="0" w:line="360" w:lineRule="auto"/>
        <w:rPr>
          <w:rFonts w:ascii="Arial" w:eastAsiaTheme="minorEastAsia" w:hAnsi="Arial" w:cs="Arial"/>
          <w:sz w:val="24"/>
          <w:szCs w:val="24"/>
        </w:rPr>
      </w:pPr>
    </w:p>
    <w:p w14:paraId="29ECDC69" w14:textId="77777777" w:rsidR="00CC6342" w:rsidRPr="0084402E" w:rsidRDefault="00CC6342" w:rsidP="004C0514">
      <w:pPr>
        <w:spacing w:after="0" w:line="360" w:lineRule="auto"/>
        <w:jc w:val="center"/>
        <w:rPr>
          <w:rFonts w:ascii="Arial" w:hAnsi="Arial" w:cs="Arial"/>
          <w:sz w:val="24"/>
          <w:szCs w:val="24"/>
        </w:rPr>
      </w:pPr>
    </w:p>
    <w:p w14:paraId="7ED0655C" w14:textId="77777777" w:rsidR="00CC6342" w:rsidRPr="0084402E" w:rsidRDefault="00CC6342" w:rsidP="004C0514">
      <w:pPr>
        <w:spacing w:after="0" w:line="360" w:lineRule="auto"/>
        <w:jc w:val="center"/>
        <w:rPr>
          <w:rFonts w:ascii="Arial" w:hAnsi="Arial" w:cs="Arial"/>
          <w:sz w:val="24"/>
          <w:szCs w:val="24"/>
        </w:rPr>
      </w:pPr>
    </w:p>
    <w:p w14:paraId="1BCD63A0" w14:textId="77777777" w:rsidR="00CC6342" w:rsidRPr="0084402E" w:rsidRDefault="00CC6342" w:rsidP="004C0514">
      <w:pPr>
        <w:spacing w:after="0" w:line="360" w:lineRule="auto"/>
        <w:jc w:val="center"/>
        <w:rPr>
          <w:rFonts w:ascii="Arial" w:hAnsi="Arial" w:cs="Arial"/>
          <w:sz w:val="24"/>
          <w:szCs w:val="24"/>
        </w:rPr>
      </w:pPr>
    </w:p>
    <w:p w14:paraId="3173A580" w14:textId="77777777" w:rsidR="00CC6342" w:rsidRPr="0084402E" w:rsidRDefault="00CC6342" w:rsidP="004C0514">
      <w:pPr>
        <w:spacing w:after="0" w:line="360" w:lineRule="auto"/>
        <w:jc w:val="center"/>
        <w:rPr>
          <w:rFonts w:ascii="Arial" w:hAnsi="Arial" w:cs="Arial"/>
          <w:sz w:val="24"/>
          <w:szCs w:val="24"/>
        </w:rPr>
      </w:pPr>
    </w:p>
    <w:p w14:paraId="3CA0F811" w14:textId="77777777" w:rsidR="00CC6342" w:rsidRDefault="00CC6342" w:rsidP="004C0514">
      <w:pPr>
        <w:spacing w:after="0" w:line="360" w:lineRule="auto"/>
        <w:jc w:val="center"/>
        <w:rPr>
          <w:rFonts w:ascii="Arial" w:hAnsi="Arial" w:cs="Arial"/>
          <w:sz w:val="24"/>
          <w:szCs w:val="24"/>
        </w:rPr>
      </w:pPr>
    </w:p>
    <w:p w14:paraId="7BBEE080" w14:textId="77777777" w:rsidR="005F4771" w:rsidRDefault="005F4771" w:rsidP="004C0514">
      <w:pPr>
        <w:spacing w:after="0" w:line="360" w:lineRule="auto"/>
        <w:jc w:val="center"/>
        <w:rPr>
          <w:rFonts w:ascii="Arial" w:hAnsi="Arial" w:cs="Arial"/>
          <w:sz w:val="24"/>
          <w:szCs w:val="24"/>
        </w:rPr>
      </w:pPr>
    </w:p>
    <w:p w14:paraId="64B795BE" w14:textId="77777777" w:rsidR="005F4771" w:rsidRPr="0084402E" w:rsidRDefault="005F4771" w:rsidP="004C0514">
      <w:pPr>
        <w:spacing w:after="0" w:line="360" w:lineRule="auto"/>
        <w:jc w:val="center"/>
        <w:rPr>
          <w:rFonts w:ascii="Arial" w:hAnsi="Arial" w:cs="Arial"/>
          <w:sz w:val="24"/>
          <w:szCs w:val="24"/>
        </w:rPr>
      </w:pPr>
    </w:p>
    <w:p w14:paraId="0659727B" w14:textId="77777777" w:rsidR="00CC6342" w:rsidRPr="0084402E" w:rsidRDefault="00CC6342" w:rsidP="004C0514">
      <w:pPr>
        <w:spacing w:after="0" w:line="360" w:lineRule="auto"/>
        <w:jc w:val="center"/>
        <w:rPr>
          <w:rFonts w:ascii="Arial" w:hAnsi="Arial" w:cs="Arial"/>
          <w:sz w:val="24"/>
          <w:szCs w:val="24"/>
        </w:rPr>
      </w:pPr>
    </w:p>
    <w:p w14:paraId="3089850B" w14:textId="77777777" w:rsidR="00C25BC7" w:rsidRPr="0084402E" w:rsidRDefault="00C25BC7" w:rsidP="004C0514">
      <w:pPr>
        <w:spacing w:after="0" w:line="360" w:lineRule="auto"/>
        <w:jc w:val="center"/>
        <w:rPr>
          <w:rFonts w:ascii="Arial" w:hAnsi="Arial" w:cs="Arial"/>
          <w:sz w:val="24"/>
          <w:szCs w:val="24"/>
        </w:rPr>
      </w:pPr>
    </w:p>
    <w:p w14:paraId="26C1BEDB" w14:textId="77777777" w:rsidR="00CC6342" w:rsidRPr="0084402E" w:rsidRDefault="00CC6342" w:rsidP="004C0514">
      <w:pPr>
        <w:spacing w:after="0" w:line="360" w:lineRule="auto"/>
        <w:jc w:val="center"/>
        <w:rPr>
          <w:rFonts w:ascii="Arial" w:hAnsi="Arial" w:cs="Arial"/>
          <w:sz w:val="24"/>
          <w:szCs w:val="24"/>
        </w:rPr>
      </w:pPr>
    </w:p>
    <w:p w14:paraId="71C39273" w14:textId="77777777" w:rsidR="00CC6342" w:rsidRPr="0084402E" w:rsidRDefault="00E63324" w:rsidP="00E63324">
      <w:pPr>
        <w:spacing w:after="0" w:line="360" w:lineRule="auto"/>
        <w:jc w:val="center"/>
        <w:rPr>
          <w:rFonts w:ascii="Arial" w:eastAsiaTheme="minorEastAsia" w:hAnsi="Arial" w:cs="Arial"/>
          <w:b/>
          <w:sz w:val="24"/>
          <w:szCs w:val="24"/>
        </w:rPr>
      </w:pPr>
      <w:r w:rsidRPr="0084402E">
        <w:rPr>
          <w:rFonts w:ascii="Arial" w:hAnsi="Arial" w:cs="Arial"/>
          <w:b/>
          <w:sz w:val="24"/>
          <w:szCs w:val="24"/>
        </w:rPr>
        <w:t xml:space="preserve">I. </w:t>
      </w:r>
      <w:r w:rsidRPr="0084402E">
        <w:rPr>
          <w:rFonts w:ascii="Arial" w:eastAsiaTheme="minorEastAsia" w:hAnsi="Arial" w:cs="Arial"/>
          <w:b/>
          <w:sz w:val="24"/>
          <w:szCs w:val="24"/>
        </w:rPr>
        <w:t>CARACTERÍSTICAS DEL PROGRAMA Y DEL FONDO</w:t>
      </w:r>
    </w:p>
    <w:p w14:paraId="76D63D23" w14:textId="77777777" w:rsidR="00CC6342" w:rsidRPr="0084402E" w:rsidRDefault="00CC6342" w:rsidP="004C0514">
      <w:pPr>
        <w:spacing w:after="0" w:line="240" w:lineRule="auto"/>
        <w:jc w:val="center"/>
        <w:rPr>
          <w:rFonts w:ascii="Arial" w:eastAsiaTheme="minorEastAsia" w:hAnsi="Arial" w:cs="Arial"/>
          <w:sz w:val="24"/>
          <w:szCs w:val="24"/>
        </w:rPr>
      </w:pPr>
    </w:p>
    <w:p w14:paraId="13F44F32" w14:textId="77777777" w:rsidR="00CC6342" w:rsidRPr="0084402E" w:rsidRDefault="00CC6342" w:rsidP="004C0514">
      <w:pPr>
        <w:spacing w:after="0" w:line="240" w:lineRule="auto"/>
        <w:rPr>
          <w:rFonts w:ascii="Arial" w:eastAsiaTheme="minorEastAsia" w:hAnsi="Arial" w:cs="Arial"/>
          <w:b/>
          <w:i/>
          <w:sz w:val="24"/>
          <w:szCs w:val="24"/>
        </w:rPr>
      </w:pPr>
      <w:r w:rsidRPr="0084402E">
        <w:rPr>
          <w:rFonts w:ascii="Arial" w:eastAsiaTheme="minorEastAsia" w:hAnsi="Arial" w:cs="Arial"/>
          <w:b/>
          <w:i/>
          <w:sz w:val="24"/>
          <w:szCs w:val="24"/>
        </w:rPr>
        <w:br w:type="page"/>
      </w:r>
    </w:p>
    <w:p w14:paraId="1E8EDECC" w14:textId="03A03A07" w:rsidR="00C671F3" w:rsidRPr="0084402E" w:rsidRDefault="00B7588B" w:rsidP="004C0514">
      <w:pPr>
        <w:spacing w:after="0" w:line="360" w:lineRule="auto"/>
        <w:ind w:left="283"/>
        <w:jc w:val="both"/>
        <w:rPr>
          <w:rFonts w:ascii="Arial" w:eastAsiaTheme="minorEastAsia" w:hAnsi="Arial" w:cs="Arial"/>
          <w:b/>
          <w:sz w:val="24"/>
          <w:szCs w:val="24"/>
        </w:rPr>
      </w:pPr>
      <w:r w:rsidRPr="0084402E">
        <w:rPr>
          <w:rFonts w:ascii="Arial" w:eastAsiaTheme="minorEastAsia" w:hAnsi="Arial" w:cs="Arial"/>
          <w:b/>
          <w:sz w:val="24"/>
          <w:szCs w:val="24"/>
        </w:rPr>
        <w:lastRenderedPageBreak/>
        <w:t xml:space="preserve">1. </w:t>
      </w:r>
      <w:r w:rsidR="00C671F3" w:rsidRPr="0084402E">
        <w:rPr>
          <w:rFonts w:ascii="Arial" w:eastAsiaTheme="minorEastAsia" w:hAnsi="Arial" w:cs="Arial"/>
          <w:b/>
          <w:sz w:val="24"/>
          <w:szCs w:val="24"/>
        </w:rPr>
        <w:t>Presentar en un máximo de dos cuartillas, una breve descripción del Fondo que incluya el objetivo, los bienes y servicios que se distribuyen a través del mismo, las carac</w:t>
      </w:r>
      <w:r w:rsidR="00E378C9">
        <w:rPr>
          <w:rFonts w:ascii="Arial" w:eastAsiaTheme="minorEastAsia" w:hAnsi="Arial" w:cs="Arial"/>
          <w:b/>
          <w:sz w:val="24"/>
          <w:szCs w:val="24"/>
        </w:rPr>
        <w:t>terísticas de los beneficiarios</w:t>
      </w:r>
      <w:r w:rsidR="00C671F3" w:rsidRPr="0084402E">
        <w:rPr>
          <w:rFonts w:ascii="Arial" w:eastAsiaTheme="minorEastAsia" w:hAnsi="Arial" w:cs="Arial"/>
          <w:b/>
          <w:sz w:val="24"/>
          <w:szCs w:val="24"/>
        </w:rPr>
        <w:t xml:space="preserve"> y los recursos financieros implicados en su ejecución.</w:t>
      </w:r>
    </w:p>
    <w:p w14:paraId="6A060356" w14:textId="77777777" w:rsidR="00746D9E" w:rsidRPr="0084402E" w:rsidRDefault="00746D9E" w:rsidP="004C0514">
      <w:pPr>
        <w:spacing w:after="0" w:line="360" w:lineRule="auto"/>
        <w:jc w:val="both"/>
        <w:rPr>
          <w:rFonts w:ascii="Arial" w:eastAsiaTheme="minorEastAsia" w:hAnsi="Arial" w:cs="Arial"/>
          <w:b/>
          <w:sz w:val="24"/>
          <w:szCs w:val="24"/>
        </w:rPr>
      </w:pPr>
    </w:p>
    <w:p w14:paraId="03BAE22C" w14:textId="77777777" w:rsidR="004C0514" w:rsidRPr="0084402E" w:rsidRDefault="004C0514" w:rsidP="004C0514">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RESPUESTA:</w:t>
      </w:r>
    </w:p>
    <w:p w14:paraId="338362FD" w14:textId="77777777" w:rsidR="00355CC5" w:rsidRPr="0084402E" w:rsidRDefault="00355CC5" w:rsidP="00355CC5">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Los Fondos de Aportaciones Federales son recursos que el Gobierno Federal transfiere a estados y municipios para su ejercicio, condicionando su gasto a los fines específicos para los que fueron creados, fines que fueron establecidos en la Ley de Coordinación Fiscal. El FAETA es uno de los Fondos de aportaciones que fueron incorporados en el Ramo 33 a partir del año 1999 en la Ley de Coordinación Fiscal, con el objetivo de que las entidades federativas recibieran recursos económicos complementarios para prestar los servicios de educación tecnológica y de educación para adultos. Así, el Fondo de Aportaciones para la Educación Tecnológica y de Adultos es el fondo No. VI del Ramo 33, y su </w:t>
      </w:r>
      <w:r w:rsidR="003C774A" w:rsidRPr="0084402E">
        <w:rPr>
          <w:rFonts w:ascii="Arial" w:eastAsiaTheme="minorEastAsia" w:hAnsi="Arial" w:cs="Arial"/>
          <w:sz w:val="24"/>
          <w:szCs w:val="24"/>
        </w:rPr>
        <w:t>objetivo está establecido</w:t>
      </w:r>
      <w:r w:rsidRPr="0084402E">
        <w:rPr>
          <w:rFonts w:ascii="Arial" w:eastAsiaTheme="minorEastAsia" w:hAnsi="Arial" w:cs="Arial"/>
          <w:sz w:val="24"/>
          <w:szCs w:val="24"/>
        </w:rPr>
        <w:t xml:space="preserve"> en el artículo 42 de la citada ley: </w:t>
      </w:r>
    </w:p>
    <w:p w14:paraId="527955CE" w14:textId="77777777" w:rsidR="00907DEA" w:rsidRPr="0084402E" w:rsidRDefault="00907DEA" w:rsidP="00355CC5">
      <w:pPr>
        <w:spacing w:after="0" w:line="360" w:lineRule="auto"/>
        <w:jc w:val="both"/>
        <w:rPr>
          <w:rFonts w:ascii="Arial" w:eastAsiaTheme="minorEastAsia" w:hAnsi="Arial" w:cs="Arial"/>
          <w:sz w:val="24"/>
          <w:szCs w:val="24"/>
        </w:rPr>
      </w:pPr>
    </w:p>
    <w:p w14:paraId="13DDAE22" w14:textId="77777777" w:rsidR="00355CC5" w:rsidRPr="0084402E" w:rsidRDefault="00355CC5" w:rsidP="00355CC5">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“Con cargo a las aportaciones del Fondo de Aportaciones para la Educación Tecnológica y de Adultos que les correspondan, los estados y el Distrito Federal recibirán los recursos económicos complementarios para prestar los servicios de educación tecnológica y de educación para adultos, cuya operación asuman de conformidad con los convenios de coordinación suscritos con el Ejecutivo Federal para la transferencia de los recursos humanos, materiales y financieros necesarios para la prestación de dichos servicios”.</w:t>
      </w:r>
    </w:p>
    <w:p w14:paraId="3A6E1037" w14:textId="77777777" w:rsidR="00355CC5" w:rsidRPr="0084402E" w:rsidRDefault="00355CC5" w:rsidP="00355CC5">
      <w:pPr>
        <w:spacing w:after="0" w:line="360" w:lineRule="auto"/>
        <w:jc w:val="both"/>
        <w:rPr>
          <w:rFonts w:ascii="Arial" w:eastAsiaTheme="minorEastAsia" w:hAnsi="Arial" w:cs="Arial"/>
          <w:sz w:val="24"/>
          <w:szCs w:val="24"/>
        </w:rPr>
      </w:pPr>
    </w:p>
    <w:p w14:paraId="677E6D73" w14:textId="3074D9BF" w:rsidR="00DC4907" w:rsidRDefault="007D3CA3" w:rsidP="00355CC5">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Los recursos del Fondo de Aportaciones para Educación Tecnológica y de Adultos transferidos por la Federación al estado de Yucatán se muestran en la siguiente Tabla: </w:t>
      </w:r>
    </w:p>
    <w:p w14:paraId="5EE5B30E" w14:textId="77777777" w:rsidR="00154572" w:rsidRDefault="00154572" w:rsidP="00355CC5">
      <w:pPr>
        <w:spacing w:after="0" w:line="360" w:lineRule="auto"/>
        <w:jc w:val="both"/>
        <w:rPr>
          <w:rFonts w:ascii="Arial" w:eastAsiaTheme="minorEastAsia" w:hAnsi="Arial" w:cs="Arial"/>
          <w:sz w:val="24"/>
          <w:szCs w:val="24"/>
        </w:rPr>
      </w:pPr>
    </w:p>
    <w:p w14:paraId="2D130F6E" w14:textId="77777777" w:rsidR="00154572" w:rsidRDefault="00154572" w:rsidP="00355CC5">
      <w:pPr>
        <w:spacing w:after="0" w:line="360" w:lineRule="auto"/>
        <w:jc w:val="both"/>
        <w:rPr>
          <w:rFonts w:ascii="Arial" w:eastAsiaTheme="minorEastAsia" w:hAnsi="Arial" w:cs="Arial"/>
          <w:sz w:val="24"/>
          <w:szCs w:val="24"/>
        </w:rPr>
      </w:pPr>
    </w:p>
    <w:p w14:paraId="4F43C5A7" w14:textId="77777777" w:rsidR="00154572" w:rsidRPr="0084402E" w:rsidRDefault="00154572" w:rsidP="00355CC5">
      <w:pPr>
        <w:spacing w:after="0" w:line="360" w:lineRule="auto"/>
        <w:jc w:val="both"/>
        <w:rPr>
          <w:rFonts w:ascii="Arial" w:eastAsiaTheme="minorEastAsia" w:hAnsi="Arial" w:cs="Arial"/>
          <w:sz w:val="24"/>
          <w:szCs w:val="24"/>
        </w:rPr>
      </w:pPr>
    </w:p>
    <w:p w14:paraId="2388EB56" w14:textId="77777777" w:rsidR="007D3CA3" w:rsidRPr="0084402E" w:rsidRDefault="007D3CA3" w:rsidP="00355CC5">
      <w:pPr>
        <w:spacing w:after="0" w:line="360" w:lineRule="auto"/>
        <w:jc w:val="both"/>
        <w:rPr>
          <w:rFonts w:ascii="Arial" w:eastAsiaTheme="minorEastAsia" w:hAnsi="Arial" w:cs="Arial"/>
          <w:sz w:val="24"/>
          <w:szCs w:val="24"/>
        </w:rPr>
      </w:pPr>
    </w:p>
    <w:tbl>
      <w:tblPr>
        <w:tblW w:w="5480" w:type="dxa"/>
        <w:jc w:val="center"/>
        <w:tblCellMar>
          <w:left w:w="70" w:type="dxa"/>
          <w:right w:w="70" w:type="dxa"/>
        </w:tblCellMar>
        <w:tblLook w:val="04A0" w:firstRow="1" w:lastRow="0" w:firstColumn="1" w:lastColumn="0" w:noHBand="0" w:noVBand="1"/>
      </w:tblPr>
      <w:tblGrid>
        <w:gridCol w:w="2559"/>
        <w:gridCol w:w="1342"/>
        <w:gridCol w:w="1674"/>
      </w:tblGrid>
      <w:tr w:rsidR="007D3CA3" w:rsidRPr="0084402E" w14:paraId="14019FA0" w14:textId="77777777" w:rsidTr="00662AA3">
        <w:trPr>
          <w:trHeight w:val="300"/>
          <w:jc w:val="center"/>
        </w:trPr>
        <w:tc>
          <w:tcPr>
            <w:tcW w:w="548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56B90BAC" w14:textId="77777777" w:rsidR="007D3CA3" w:rsidRPr="0084402E" w:rsidRDefault="007D3CA3" w:rsidP="007D3CA3">
            <w:pPr>
              <w:spacing w:after="0" w:line="240" w:lineRule="auto"/>
              <w:jc w:val="center"/>
              <w:rPr>
                <w:rFonts w:ascii="Arial" w:eastAsia="Times New Roman" w:hAnsi="Arial" w:cs="Arial"/>
                <w:b/>
                <w:bCs/>
                <w:color w:val="FFFFFF" w:themeColor="background1"/>
                <w:sz w:val="24"/>
                <w:szCs w:val="24"/>
                <w:lang w:eastAsia="es-MX"/>
              </w:rPr>
            </w:pPr>
            <w:r w:rsidRPr="0084402E">
              <w:rPr>
                <w:rFonts w:ascii="Arial" w:eastAsia="Times New Roman" w:hAnsi="Arial" w:cs="Arial"/>
                <w:b/>
                <w:bCs/>
                <w:color w:val="FFFFFF" w:themeColor="background1"/>
                <w:sz w:val="24"/>
                <w:szCs w:val="24"/>
                <w:lang w:eastAsia="es-MX"/>
              </w:rPr>
              <w:lastRenderedPageBreak/>
              <w:t>Tabla No. 1: Recursos del FAETA 2014 para Yucatán</w:t>
            </w:r>
          </w:p>
        </w:tc>
      </w:tr>
      <w:tr w:rsidR="007D3CA3" w:rsidRPr="0084402E" w14:paraId="132523F0" w14:textId="77777777" w:rsidTr="007D3CA3">
        <w:trPr>
          <w:trHeight w:val="900"/>
          <w:jc w:val="center"/>
        </w:trPr>
        <w:tc>
          <w:tcPr>
            <w:tcW w:w="2559" w:type="dxa"/>
            <w:tcBorders>
              <w:top w:val="nil"/>
              <w:left w:val="single" w:sz="4" w:space="0" w:color="auto"/>
              <w:bottom w:val="single" w:sz="4" w:space="0" w:color="auto"/>
              <w:right w:val="single" w:sz="4" w:space="0" w:color="auto"/>
            </w:tcBorders>
            <w:shd w:val="clear" w:color="auto" w:fill="auto"/>
            <w:noWrap/>
            <w:vAlign w:val="center"/>
            <w:hideMark/>
          </w:tcPr>
          <w:p w14:paraId="1D55844F" w14:textId="77777777" w:rsidR="007D3CA3" w:rsidRPr="0084402E" w:rsidRDefault="007D3CA3" w:rsidP="007D3CA3">
            <w:pPr>
              <w:spacing w:after="0" w:line="240" w:lineRule="auto"/>
              <w:jc w:val="center"/>
              <w:rPr>
                <w:rFonts w:ascii="Arial" w:eastAsia="Times New Roman" w:hAnsi="Arial" w:cs="Arial"/>
                <w:b/>
                <w:bCs/>
                <w:color w:val="000000"/>
                <w:sz w:val="24"/>
                <w:szCs w:val="24"/>
                <w:lang w:eastAsia="es-MX"/>
              </w:rPr>
            </w:pPr>
            <w:r w:rsidRPr="0084402E">
              <w:rPr>
                <w:rFonts w:ascii="Arial" w:eastAsia="Times New Roman" w:hAnsi="Arial" w:cs="Arial"/>
                <w:b/>
                <w:bCs/>
                <w:color w:val="000000"/>
                <w:sz w:val="24"/>
                <w:szCs w:val="24"/>
                <w:lang w:eastAsia="es-MX"/>
              </w:rPr>
              <w:t>Subfondo</w:t>
            </w:r>
          </w:p>
        </w:tc>
        <w:tc>
          <w:tcPr>
            <w:tcW w:w="1259" w:type="dxa"/>
            <w:tcBorders>
              <w:top w:val="nil"/>
              <w:left w:val="nil"/>
              <w:bottom w:val="single" w:sz="4" w:space="0" w:color="auto"/>
              <w:right w:val="single" w:sz="4" w:space="0" w:color="auto"/>
            </w:tcBorders>
            <w:shd w:val="clear" w:color="auto" w:fill="auto"/>
            <w:noWrap/>
            <w:vAlign w:val="center"/>
            <w:hideMark/>
          </w:tcPr>
          <w:p w14:paraId="74C1939A" w14:textId="77777777" w:rsidR="007D3CA3" w:rsidRPr="0084402E" w:rsidRDefault="007D3CA3" w:rsidP="007D3CA3">
            <w:pPr>
              <w:spacing w:after="0" w:line="240" w:lineRule="auto"/>
              <w:jc w:val="center"/>
              <w:rPr>
                <w:rFonts w:ascii="Arial" w:eastAsia="Times New Roman" w:hAnsi="Arial" w:cs="Arial"/>
                <w:b/>
                <w:bCs/>
                <w:color w:val="000000"/>
                <w:sz w:val="24"/>
                <w:szCs w:val="24"/>
                <w:lang w:eastAsia="es-MX"/>
              </w:rPr>
            </w:pPr>
            <w:r w:rsidRPr="0084402E">
              <w:rPr>
                <w:rFonts w:ascii="Arial" w:eastAsia="Times New Roman" w:hAnsi="Arial" w:cs="Arial"/>
                <w:b/>
                <w:bCs/>
                <w:color w:val="000000"/>
                <w:sz w:val="24"/>
                <w:szCs w:val="24"/>
                <w:lang w:eastAsia="es-MX"/>
              </w:rPr>
              <w:t>PEF 2014</w:t>
            </w:r>
          </w:p>
        </w:tc>
        <w:tc>
          <w:tcPr>
            <w:tcW w:w="1662" w:type="dxa"/>
            <w:tcBorders>
              <w:top w:val="nil"/>
              <w:left w:val="nil"/>
              <w:bottom w:val="single" w:sz="4" w:space="0" w:color="auto"/>
              <w:right w:val="single" w:sz="4" w:space="0" w:color="auto"/>
            </w:tcBorders>
            <w:shd w:val="clear" w:color="auto" w:fill="auto"/>
            <w:vAlign w:val="center"/>
            <w:hideMark/>
          </w:tcPr>
          <w:p w14:paraId="41487108" w14:textId="77777777" w:rsidR="007D3CA3" w:rsidRPr="0084402E" w:rsidRDefault="007D3CA3" w:rsidP="007D3CA3">
            <w:pPr>
              <w:spacing w:after="0" w:line="240" w:lineRule="auto"/>
              <w:jc w:val="center"/>
              <w:rPr>
                <w:rFonts w:ascii="Arial" w:eastAsia="Times New Roman" w:hAnsi="Arial" w:cs="Arial"/>
                <w:b/>
                <w:bCs/>
                <w:color w:val="000000"/>
                <w:sz w:val="24"/>
                <w:szCs w:val="24"/>
                <w:lang w:eastAsia="es-MX"/>
              </w:rPr>
            </w:pPr>
            <w:r w:rsidRPr="0084402E">
              <w:rPr>
                <w:rFonts w:ascii="Arial" w:eastAsia="Times New Roman" w:hAnsi="Arial" w:cs="Arial"/>
                <w:b/>
                <w:bCs/>
                <w:color w:val="000000"/>
                <w:sz w:val="24"/>
                <w:szCs w:val="24"/>
                <w:lang w:eastAsia="es-MX"/>
              </w:rPr>
              <w:t>Aportaciones Pagadas al 31 dic.</w:t>
            </w:r>
          </w:p>
        </w:tc>
      </w:tr>
      <w:tr w:rsidR="007D3CA3" w:rsidRPr="0084402E" w14:paraId="33CC96D1" w14:textId="77777777" w:rsidTr="007D3CA3">
        <w:trPr>
          <w:trHeight w:val="300"/>
          <w:jc w:val="center"/>
        </w:trPr>
        <w:tc>
          <w:tcPr>
            <w:tcW w:w="2559" w:type="dxa"/>
            <w:tcBorders>
              <w:top w:val="nil"/>
              <w:left w:val="single" w:sz="4" w:space="0" w:color="auto"/>
              <w:bottom w:val="single" w:sz="4" w:space="0" w:color="auto"/>
              <w:right w:val="single" w:sz="4" w:space="0" w:color="auto"/>
            </w:tcBorders>
            <w:shd w:val="clear" w:color="auto" w:fill="auto"/>
            <w:noWrap/>
            <w:vAlign w:val="bottom"/>
            <w:hideMark/>
          </w:tcPr>
          <w:p w14:paraId="12E07479" w14:textId="77777777" w:rsidR="007D3CA3" w:rsidRPr="0084402E" w:rsidRDefault="007D3CA3" w:rsidP="007D3CA3">
            <w:pPr>
              <w:spacing w:after="0" w:line="240" w:lineRule="auto"/>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Educación</w:t>
            </w:r>
            <w:r w:rsidR="005F5C23" w:rsidRPr="0084402E">
              <w:rPr>
                <w:rFonts w:ascii="Arial" w:eastAsia="Times New Roman" w:hAnsi="Arial" w:cs="Arial"/>
                <w:color w:val="000000"/>
                <w:sz w:val="24"/>
                <w:szCs w:val="24"/>
                <w:lang w:eastAsia="es-MX"/>
              </w:rPr>
              <w:t xml:space="preserve"> para</w:t>
            </w:r>
            <w:r w:rsidRPr="0084402E">
              <w:rPr>
                <w:rFonts w:ascii="Arial" w:eastAsia="Times New Roman" w:hAnsi="Arial" w:cs="Arial"/>
                <w:color w:val="000000"/>
                <w:sz w:val="24"/>
                <w:szCs w:val="24"/>
                <w:lang w:eastAsia="es-MX"/>
              </w:rPr>
              <w:t xml:space="preserve"> Adultos</w:t>
            </w:r>
          </w:p>
        </w:tc>
        <w:tc>
          <w:tcPr>
            <w:tcW w:w="1259" w:type="dxa"/>
            <w:tcBorders>
              <w:top w:val="nil"/>
              <w:left w:val="nil"/>
              <w:bottom w:val="single" w:sz="4" w:space="0" w:color="auto"/>
              <w:right w:val="single" w:sz="4" w:space="0" w:color="auto"/>
            </w:tcBorders>
            <w:shd w:val="clear" w:color="auto" w:fill="auto"/>
            <w:noWrap/>
            <w:vAlign w:val="center"/>
            <w:hideMark/>
          </w:tcPr>
          <w:p w14:paraId="47E107F8" w14:textId="77777777" w:rsidR="007D3CA3" w:rsidRPr="0084402E" w:rsidRDefault="007D3CA3" w:rsidP="007D3CA3">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61,857,968</w:t>
            </w:r>
          </w:p>
        </w:tc>
        <w:tc>
          <w:tcPr>
            <w:tcW w:w="1662" w:type="dxa"/>
            <w:tcBorders>
              <w:top w:val="nil"/>
              <w:left w:val="nil"/>
              <w:bottom w:val="single" w:sz="4" w:space="0" w:color="auto"/>
              <w:right w:val="single" w:sz="4" w:space="0" w:color="auto"/>
            </w:tcBorders>
            <w:shd w:val="clear" w:color="auto" w:fill="auto"/>
            <w:noWrap/>
            <w:vAlign w:val="center"/>
            <w:hideMark/>
          </w:tcPr>
          <w:p w14:paraId="1EFB8FE9" w14:textId="77777777" w:rsidR="007D3CA3" w:rsidRPr="0084402E" w:rsidRDefault="007D3CA3" w:rsidP="007D3CA3">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63,603,368</w:t>
            </w:r>
          </w:p>
        </w:tc>
      </w:tr>
      <w:tr w:rsidR="007D3CA3" w:rsidRPr="0084402E" w14:paraId="4BDA320D" w14:textId="77777777" w:rsidTr="007D3CA3">
        <w:trPr>
          <w:trHeight w:val="300"/>
          <w:jc w:val="center"/>
        </w:trPr>
        <w:tc>
          <w:tcPr>
            <w:tcW w:w="2559" w:type="dxa"/>
            <w:tcBorders>
              <w:top w:val="nil"/>
              <w:left w:val="single" w:sz="4" w:space="0" w:color="auto"/>
              <w:bottom w:val="single" w:sz="4" w:space="0" w:color="auto"/>
              <w:right w:val="single" w:sz="4" w:space="0" w:color="auto"/>
            </w:tcBorders>
            <w:shd w:val="clear" w:color="auto" w:fill="auto"/>
            <w:noWrap/>
            <w:vAlign w:val="bottom"/>
            <w:hideMark/>
          </w:tcPr>
          <w:p w14:paraId="4AC29A1B" w14:textId="77777777" w:rsidR="007D3CA3" w:rsidRPr="0084402E" w:rsidRDefault="007D3CA3" w:rsidP="007D3CA3">
            <w:pPr>
              <w:spacing w:after="0" w:line="240" w:lineRule="auto"/>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Educación Tecnológica</w:t>
            </w:r>
          </w:p>
        </w:tc>
        <w:tc>
          <w:tcPr>
            <w:tcW w:w="1259" w:type="dxa"/>
            <w:tcBorders>
              <w:top w:val="nil"/>
              <w:left w:val="nil"/>
              <w:bottom w:val="single" w:sz="4" w:space="0" w:color="auto"/>
              <w:right w:val="single" w:sz="4" w:space="0" w:color="auto"/>
            </w:tcBorders>
            <w:shd w:val="clear" w:color="auto" w:fill="auto"/>
            <w:noWrap/>
            <w:vAlign w:val="center"/>
            <w:hideMark/>
          </w:tcPr>
          <w:p w14:paraId="269ED0E8" w14:textId="77777777" w:rsidR="007D3CA3" w:rsidRPr="0084402E" w:rsidRDefault="007D3CA3" w:rsidP="007D3CA3">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83,899,942</w:t>
            </w:r>
          </w:p>
        </w:tc>
        <w:tc>
          <w:tcPr>
            <w:tcW w:w="1662" w:type="dxa"/>
            <w:tcBorders>
              <w:top w:val="nil"/>
              <w:left w:val="nil"/>
              <w:bottom w:val="single" w:sz="4" w:space="0" w:color="auto"/>
              <w:right w:val="single" w:sz="4" w:space="0" w:color="auto"/>
            </w:tcBorders>
            <w:shd w:val="clear" w:color="auto" w:fill="auto"/>
            <w:noWrap/>
            <w:vAlign w:val="center"/>
            <w:hideMark/>
          </w:tcPr>
          <w:p w14:paraId="35C1189E" w14:textId="77777777" w:rsidR="007D3CA3" w:rsidRPr="0084402E" w:rsidRDefault="007D3CA3" w:rsidP="007D3CA3">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85,926,742</w:t>
            </w:r>
          </w:p>
        </w:tc>
      </w:tr>
      <w:tr w:rsidR="007D3CA3" w:rsidRPr="005F4771" w14:paraId="13FA7004" w14:textId="77777777" w:rsidTr="007D3CA3">
        <w:trPr>
          <w:trHeight w:val="1005"/>
          <w:jc w:val="center"/>
        </w:trPr>
        <w:tc>
          <w:tcPr>
            <w:tcW w:w="5480" w:type="dxa"/>
            <w:gridSpan w:val="3"/>
            <w:tcBorders>
              <w:top w:val="single" w:sz="4" w:space="0" w:color="auto"/>
              <w:left w:val="nil"/>
              <w:bottom w:val="nil"/>
              <w:right w:val="nil"/>
            </w:tcBorders>
            <w:shd w:val="clear" w:color="auto" w:fill="auto"/>
            <w:vAlign w:val="bottom"/>
            <w:hideMark/>
          </w:tcPr>
          <w:p w14:paraId="0CBEEF99" w14:textId="77777777" w:rsidR="007D3CA3" w:rsidRPr="005F4771" w:rsidRDefault="007D3CA3" w:rsidP="006B744E">
            <w:pPr>
              <w:spacing w:after="0" w:line="240" w:lineRule="auto"/>
              <w:jc w:val="both"/>
              <w:rPr>
                <w:rFonts w:ascii="Arial" w:eastAsia="Times New Roman" w:hAnsi="Arial" w:cs="Arial"/>
                <w:b/>
                <w:color w:val="000000"/>
                <w:sz w:val="20"/>
                <w:szCs w:val="24"/>
                <w:lang w:eastAsia="es-MX"/>
              </w:rPr>
            </w:pPr>
            <w:r w:rsidRPr="005F4771">
              <w:rPr>
                <w:rFonts w:ascii="Arial" w:eastAsia="Times New Roman" w:hAnsi="Arial" w:cs="Arial"/>
                <w:b/>
                <w:color w:val="000000"/>
                <w:sz w:val="20"/>
                <w:szCs w:val="24"/>
                <w:lang w:eastAsia="es-MX"/>
              </w:rPr>
              <w:t>Fuente: Presupuesto de Egresos de la Federación para el ejercicio fiscal 2014 e Informe de la Situación Económica, las Finanzas Públicas y la Deuda Pública de la SHCP al 4to. Trimestre de 2014</w:t>
            </w:r>
            <w:r w:rsidR="008872C8" w:rsidRPr="005F4771">
              <w:rPr>
                <w:rFonts w:ascii="Arial" w:eastAsia="Times New Roman" w:hAnsi="Arial" w:cs="Arial"/>
                <w:b/>
                <w:color w:val="000000"/>
                <w:sz w:val="20"/>
                <w:szCs w:val="24"/>
                <w:lang w:eastAsia="es-MX"/>
              </w:rPr>
              <w:t>.</w:t>
            </w:r>
          </w:p>
        </w:tc>
      </w:tr>
    </w:tbl>
    <w:p w14:paraId="013FF8D7" w14:textId="77777777" w:rsidR="006B744E" w:rsidRPr="0084402E" w:rsidRDefault="006B744E" w:rsidP="00355CC5">
      <w:pPr>
        <w:spacing w:after="0" w:line="360" w:lineRule="auto"/>
        <w:jc w:val="both"/>
        <w:rPr>
          <w:rFonts w:ascii="Arial" w:eastAsiaTheme="minorEastAsia" w:hAnsi="Arial" w:cs="Arial"/>
          <w:sz w:val="24"/>
          <w:szCs w:val="24"/>
        </w:rPr>
      </w:pPr>
    </w:p>
    <w:p w14:paraId="0F014CF2" w14:textId="0C4F2F38" w:rsidR="009D30F9" w:rsidRPr="0084402E" w:rsidRDefault="007D3CA3" w:rsidP="00355CC5">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Como se observa, </w:t>
      </w:r>
      <w:r w:rsidR="004063C2" w:rsidRPr="0084402E">
        <w:rPr>
          <w:rFonts w:ascii="Arial" w:eastAsiaTheme="minorEastAsia" w:hAnsi="Arial" w:cs="Arial"/>
          <w:sz w:val="24"/>
          <w:szCs w:val="24"/>
        </w:rPr>
        <w:t>de</w:t>
      </w:r>
      <w:r w:rsidRPr="0084402E">
        <w:rPr>
          <w:rFonts w:ascii="Arial" w:eastAsiaTheme="minorEastAsia" w:hAnsi="Arial" w:cs="Arial"/>
          <w:sz w:val="24"/>
          <w:szCs w:val="24"/>
        </w:rPr>
        <w:t xml:space="preserve"> los recursos de FAETA que le fueron transferidos</w:t>
      </w:r>
      <w:r w:rsidR="006601ED" w:rsidRPr="0084402E">
        <w:rPr>
          <w:rFonts w:ascii="Arial" w:eastAsiaTheme="minorEastAsia" w:hAnsi="Arial" w:cs="Arial"/>
          <w:sz w:val="24"/>
          <w:szCs w:val="24"/>
        </w:rPr>
        <w:t xml:space="preserve"> al estado de Yucatán</w:t>
      </w:r>
      <w:r w:rsidR="00AC4561" w:rsidRPr="0084402E">
        <w:rPr>
          <w:rFonts w:ascii="Arial" w:eastAsiaTheme="minorEastAsia" w:hAnsi="Arial" w:cs="Arial"/>
          <w:sz w:val="24"/>
          <w:szCs w:val="24"/>
        </w:rPr>
        <w:t xml:space="preserve"> para 2014</w:t>
      </w:r>
      <w:r w:rsidR="006601ED" w:rsidRPr="0084402E">
        <w:rPr>
          <w:rFonts w:ascii="Arial" w:eastAsiaTheme="minorEastAsia" w:hAnsi="Arial" w:cs="Arial"/>
          <w:sz w:val="24"/>
          <w:szCs w:val="24"/>
        </w:rPr>
        <w:t>, una</w:t>
      </w:r>
      <w:r w:rsidR="00E75D9F" w:rsidRPr="0084402E">
        <w:rPr>
          <w:rFonts w:ascii="Arial" w:eastAsiaTheme="minorEastAsia" w:hAnsi="Arial" w:cs="Arial"/>
          <w:sz w:val="24"/>
          <w:szCs w:val="24"/>
        </w:rPr>
        <w:t xml:space="preserve"> </w:t>
      </w:r>
      <w:r w:rsidR="006601ED" w:rsidRPr="0084402E">
        <w:rPr>
          <w:rFonts w:ascii="Arial" w:eastAsiaTheme="minorEastAsia" w:hAnsi="Arial" w:cs="Arial"/>
          <w:sz w:val="24"/>
          <w:szCs w:val="24"/>
        </w:rPr>
        <w:t>parte se destina</w:t>
      </w:r>
      <w:r w:rsidR="00E75D9F" w:rsidRPr="0084402E">
        <w:rPr>
          <w:rFonts w:ascii="Arial" w:eastAsiaTheme="minorEastAsia" w:hAnsi="Arial" w:cs="Arial"/>
          <w:sz w:val="24"/>
          <w:szCs w:val="24"/>
        </w:rPr>
        <w:t xml:space="preserve"> a los servicios de alfabetización y educación básica para personas en situación de rezago educat</w:t>
      </w:r>
      <w:r w:rsidR="006601ED" w:rsidRPr="0084402E">
        <w:rPr>
          <w:rFonts w:ascii="Arial" w:eastAsiaTheme="minorEastAsia" w:hAnsi="Arial" w:cs="Arial"/>
          <w:sz w:val="24"/>
          <w:szCs w:val="24"/>
        </w:rPr>
        <w:t>ivo y son ejercidos por e</w:t>
      </w:r>
      <w:r w:rsidR="00E75D9F" w:rsidRPr="0084402E">
        <w:rPr>
          <w:rFonts w:ascii="Arial" w:eastAsiaTheme="minorEastAsia" w:hAnsi="Arial" w:cs="Arial"/>
          <w:sz w:val="24"/>
          <w:szCs w:val="24"/>
        </w:rPr>
        <w:t>l Instituto de Educación para Adultos del Estado de Yucatán</w:t>
      </w:r>
      <w:r w:rsidR="00746D9E" w:rsidRPr="0084402E">
        <w:rPr>
          <w:rFonts w:ascii="Arial" w:eastAsiaTheme="minorEastAsia" w:hAnsi="Arial" w:cs="Arial"/>
          <w:sz w:val="24"/>
          <w:szCs w:val="24"/>
        </w:rPr>
        <w:t>, IEAEY</w:t>
      </w:r>
      <w:r w:rsidR="00200EE8" w:rsidRPr="0084402E">
        <w:rPr>
          <w:rFonts w:ascii="Arial" w:eastAsiaTheme="minorEastAsia" w:hAnsi="Arial" w:cs="Arial"/>
          <w:sz w:val="24"/>
          <w:szCs w:val="24"/>
        </w:rPr>
        <w:t>,  a través del programa presupuestario No. 78 “Rezago Educativo” coordinado por la Secretaría de E</w:t>
      </w:r>
      <w:r w:rsidR="00C310B4" w:rsidRPr="0084402E">
        <w:rPr>
          <w:rFonts w:ascii="Arial" w:eastAsiaTheme="minorEastAsia" w:hAnsi="Arial" w:cs="Arial"/>
          <w:sz w:val="24"/>
          <w:szCs w:val="24"/>
        </w:rPr>
        <w:t xml:space="preserve">ducación del Estado de Yucatán, específicamente </w:t>
      </w:r>
      <w:r w:rsidR="00AF62EB" w:rsidRPr="0084402E">
        <w:rPr>
          <w:rFonts w:ascii="Arial" w:eastAsiaTheme="minorEastAsia" w:hAnsi="Arial" w:cs="Arial"/>
          <w:sz w:val="24"/>
          <w:szCs w:val="24"/>
        </w:rPr>
        <w:t>por medio</w:t>
      </w:r>
      <w:r w:rsidR="00C310B4" w:rsidRPr="0084402E">
        <w:rPr>
          <w:rFonts w:ascii="Arial" w:eastAsiaTheme="minorEastAsia" w:hAnsi="Arial" w:cs="Arial"/>
          <w:sz w:val="24"/>
          <w:szCs w:val="24"/>
        </w:rPr>
        <w:t xml:space="preserve"> de la actividad programática “Atención a la población joven y adulta de 15 años en adelante</w:t>
      </w:r>
      <w:r w:rsidR="006E4FEF" w:rsidRPr="0084402E">
        <w:rPr>
          <w:rFonts w:ascii="Arial" w:eastAsiaTheme="minorEastAsia" w:hAnsi="Arial" w:cs="Arial"/>
          <w:sz w:val="24"/>
          <w:szCs w:val="24"/>
        </w:rPr>
        <w:t>”</w:t>
      </w:r>
      <w:r w:rsidR="00681134" w:rsidRPr="0084402E">
        <w:rPr>
          <w:rFonts w:ascii="Arial" w:eastAsiaTheme="minorEastAsia" w:hAnsi="Arial" w:cs="Arial"/>
          <w:sz w:val="24"/>
          <w:szCs w:val="24"/>
        </w:rPr>
        <w:t>, y el Programa Institucional “Gestión del Sistema Educativo”</w:t>
      </w:r>
      <w:r w:rsidR="006A6E55" w:rsidRPr="0084402E">
        <w:rPr>
          <w:rFonts w:ascii="Arial" w:eastAsiaTheme="minorEastAsia" w:hAnsi="Arial" w:cs="Arial"/>
          <w:sz w:val="24"/>
          <w:szCs w:val="24"/>
        </w:rPr>
        <w:t xml:space="preserve">, como se muestra en la Tabla No. </w:t>
      </w:r>
      <w:r w:rsidRPr="0084402E">
        <w:rPr>
          <w:rFonts w:ascii="Arial" w:eastAsiaTheme="minorEastAsia" w:hAnsi="Arial" w:cs="Arial"/>
          <w:sz w:val="24"/>
          <w:szCs w:val="24"/>
        </w:rPr>
        <w:t>2</w:t>
      </w:r>
      <w:r w:rsidR="004063C2" w:rsidRPr="0084402E">
        <w:rPr>
          <w:rFonts w:ascii="Arial" w:eastAsiaTheme="minorEastAsia" w:hAnsi="Arial" w:cs="Arial"/>
          <w:sz w:val="24"/>
          <w:szCs w:val="24"/>
        </w:rPr>
        <w:t>.</w:t>
      </w:r>
    </w:p>
    <w:tbl>
      <w:tblPr>
        <w:tblW w:w="7560" w:type="dxa"/>
        <w:jc w:val="center"/>
        <w:tblCellMar>
          <w:left w:w="70" w:type="dxa"/>
          <w:right w:w="70" w:type="dxa"/>
        </w:tblCellMar>
        <w:tblLook w:val="04A0" w:firstRow="1" w:lastRow="0" w:firstColumn="1" w:lastColumn="0" w:noHBand="0" w:noVBand="1"/>
      </w:tblPr>
      <w:tblGrid>
        <w:gridCol w:w="2500"/>
        <w:gridCol w:w="3140"/>
        <w:gridCol w:w="1920"/>
      </w:tblGrid>
      <w:tr w:rsidR="009D30F9" w:rsidRPr="0084402E" w14:paraId="66FF055E" w14:textId="77777777" w:rsidTr="00662AA3">
        <w:trPr>
          <w:trHeight w:val="615"/>
          <w:jc w:val="center"/>
        </w:trPr>
        <w:tc>
          <w:tcPr>
            <w:tcW w:w="756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hideMark/>
          </w:tcPr>
          <w:p w14:paraId="3FF1AA05" w14:textId="77777777" w:rsidR="00662AA3" w:rsidRPr="0084402E" w:rsidRDefault="007D3CA3" w:rsidP="00662AA3">
            <w:pPr>
              <w:spacing w:after="0" w:line="240" w:lineRule="auto"/>
              <w:rPr>
                <w:rFonts w:ascii="Arial" w:eastAsia="Times New Roman" w:hAnsi="Arial" w:cs="Arial"/>
                <w:b/>
                <w:bCs/>
                <w:i/>
                <w:color w:val="FFFFFF" w:themeColor="background1"/>
                <w:sz w:val="24"/>
                <w:szCs w:val="24"/>
                <w:lang w:eastAsia="es-MX"/>
              </w:rPr>
            </w:pPr>
            <w:r w:rsidRPr="0084402E">
              <w:rPr>
                <w:rFonts w:ascii="Arial" w:eastAsia="Times New Roman" w:hAnsi="Arial" w:cs="Arial"/>
                <w:b/>
                <w:bCs/>
                <w:i/>
                <w:color w:val="FFFFFF" w:themeColor="background1"/>
                <w:sz w:val="24"/>
                <w:szCs w:val="24"/>
                <w:lang w:eastAsia="es-MX"/>
              </w:rPr>
              <w:t>Tabla No. 2</w:t>
            </w:r>
            <w:r w:rsidR="009D30F9" w:rsidRPr="0084402E">
              <w:rPr>
                <w:rFonts w:ascii="Arial" w:eastAsia="Times New Roman" w:hAnsi="Arial" w:cs="Arial"/>
                <w:b/>
                <w:bCs/>
                <w:i/>
                <w:color w:val="FFFFFF" w:themeColor="background1"/>
                <w:sz w:val="24"/>
                <w:szCs w:val="24"/>
                <w:lang w:eastAsia="es-MX"/>
              </w:rPr>
              <w:t>: Programas a través de los cuales se ejercen los recursos</w:t>
            </w:r>
          </w:p>
          <w:p w14:paraId="35144DF2" w14:textId="77777777" w:rsidR="009D30F9" w:rsidRPr="0084402E" w:rsidRDefault="009D30F9" w:rsidP="00662AA3">
            <w:pPr>
              <w:spacing w:after="0" w:line="240" w:lineRule="auto"/>
              <w:rPr>
                <w:rFonts w:ascii="Arial" w:eastAsia="Times New Roman" w:hAnsi="Arial" w:cs="Arial"/>
                <w:b/>
                <w:bCs/>
                <w:i/>
                <w:color w:val="FFFFFF" w:themeColor="background1"/>
                <w:sz w:val="24"/>
                <w:szCs w:val="24"/>
                <w:lang w:eastAsia="es-MX"/>
              </w:rPr>
            </w:pPr>
            <w:r w:rsidRPr="0084402E">
              <w:rPr>
                <w:rFonts w:ascii="Arial" w:eastAsia="Times New Roman" w:hAnsi="Arial" w:cs="Arial"/>
                <w:b/>
                <w:bCs/>
                <w:i/>
                <w:color w:val="FFFFFF" w:themeColor="background1"/>
                <w:sz w:val="24"/>
                <w:szCs w:val="24"/>
                <w:lang w:eastAsia="es-MX"/>
              </w:rPr>
              <w:t xml:space="preserve"> </w:t>
            </w:r>
          </w:p>
        </w:tc>
      </w:tr>
      <w:tr w:rsidR="009D30F9" w:rsidRPr="0084402E" w14:paraId="279A5BA9" w14:textId="77777777" w:rsidTr="009D30F9">
        <w:trPr>
          <w:trHeight w:val="600"/>
          <w:jc w:val="center"/>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14:paraId="607DD9C9" w14:textId="77777777" w:rsidR="009D30F9" w:rsidRPr="00154572" w:rsidRDefault="009D30F9" w:rsidP="009D30F9">
            <w:pPr>
              <w:spacing w:after="0" w:line="240" w:lineRule="auto"/>
              <w:jc w:val="center"/>
              <w:rPr>
                <w:rFonts w:ascii="Arial" w:eastAsia="Times New Roman" w:hAnsi="Arial" w:cs="Arial"/>
                <w:b/>
                <w:bCs/>
                <w:color w:val="000000"/>
                <w:szCs w:val="24"/>
                <w:lang w:eastAsia="es-MX"/>
              </w:rPr>
            </w:pPr>
            <w:r w:rsidRPr="00154572">
              <w:rPr>
                <w:rFonts w:ascii="Arial" w:eastAsia="Times New Roman" w:hAnsi="Arial" w:cs="Arial"/>
                <w:b/>
                <w:bCs/>
                <w:color w:val="000000"/>
                <w:szCs w:val="24"/>
                <w:lang w:eastAsia="es-MX"/>
              </w:rPr>
              <w:t xml:space="preserve">PROGRAMA </w:t>
            </w:r>
          </w:p>
        </w:tc>
        <w:tc>
          <w:tcPr>
            <w:tcW w:w="3140" w:type="dxa"/>
            <w:tcBorders>
              <w:top w:val="nil"/>
              <w:left w:val="nil"/>
              <w:bottom w:val="single" w:sz="4" w:space="0" w:color="auto"/>
              <w:right w:val="single" w:sz="4" w:space="0" w:color="auto"/>
            </w:tcBorders>
            <w:shd w:val="clear" w:color="auto" w:fill="auto"/>
            <w:noWrap/>
            <w:vAlign w:val="center"/>
            <w:hideMark/>
          </w:tcPr>
          <w:p w14:paraId="5718F0C6" w14:textId="77777777" w:rsidR="009D30F9" w:rsidRPr="00154572" w:rsidRDefault="009D30F9" w:rsidP="009D30F9">
            <w:pPr>
              <w:spacing w:after="0" w:line="240" w:lineRule="auto"/>
              <w:jc w:val="center"/>
              <w:rPr>
                <w:rFonts w:ascii="Arial" w:eastAsia="Times New Roman" w:hAnsi="Arial" w:cs="Arial"/>
                <w:b/>
                <w:bCs/>
                <w:color w:val="000000"/>
                <w:szCs w:val="24"/>
                <w:lang w:eastAsia="es-MX"/>
              </w:rPr>
            </w:pPr>
            <w:r w:rsidRPr="00154572">
              <w:rPr>
                <w:rFonts w:ascii="Arial" w:eastAsia="Times New Roman" w:hAnsi="Arial" w:cs="Arial"/>
                <w:b/>
                <w:bCs/>
                <w:color w:val="000000"/>
                <w:szCs w:val="24"/>
                <w:lang w:eastAsia="es-MX"/>
              </w:rPr>
              <w:t xml:space="preserve">POA </w:t>
            </w:r>
          </w:p>
        </w:tc>
        <w:tc>
          <w:tcPr>
            <w:tcW w:w="1920" w:type="dxa"/>
            <w:tcBorders>
              <w:top w:val="nil"/>
              <w:left w:val="nil"/>
              <w:bottom w:val="single" w:sz="4" w:space="0" w:color="auto"/>
              <w:right w:val="single" w:sz="4" w:space="0" w:color="auto"/>
            </w:tcBorders>
            <w:shd w:val="clear" w:color="auto" w:fill="auto"/>
            <w:vAlign w:val="bottom"/>
            <w:hideMark/>
          </w:tcPr>
          <w:p w14:paraId="72D9C653" w14:textId="77777777" w:rsidR="009D30F9" w:rsidRPr="00154572" w:rsidRDefault="009D30F9" w:rsidP="009D30F9">
            <w:pPr>
              <w:spacing w:after="0" w:line="240" w:lineRule="auto"/>
              <w:rPr>
                <w:rFonts w:ascii="Arial" w:eastAsia="Times New Roman" w:hAnsi="Arial" w:cs="Arial"/>
                <w:b/>
                <w:bCs/>
                <w:color w:val="000000"/>
                <w:szCs w:val="24"/>
                <w:lang w:eastAsia="es-MX"/>
              </w:rPr>
            </w:pPr>
            <w:r w:rsidRPr="00154572">
              <w:rPr>
                <w:rFonts w:ascii="Arial" w:eastAsia="Times New Roman" w:hAnsi="Arial" w:cs="Arial"/>
                <w:b/>
                <w:bCs/>
                <w:color w:val="000000"/>
                <w:szCs w:val="24"/>
                <w:lang w:eastAsia="es-MX"/>
              </w:rPr>
              <w:t xml:space="preserve">PRESUPUESO ASIGNADO </w:t>
            </w:r>
          </w:p>
        </w:tc>
      </w:tr>
      <w:tr w:rsidR="009D30F9" w:rsidRPr="0084402E" w14:paraId="26DFFAE9" w14:textId="77777777" w:rsidTr="009D30F9">
        <w:trPr>
          <w:trHeight w:val="1245"/>
          <w:jc w:val="center"/>
        </w:trPr>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14:paraId="67BB1F76" w14:textId="77777777" w:rsidR="009D30F9" w:rsidRPr="00154572" w:rsidRDefault="009D30F9" w:rsidP="009D30F9">
            <w:pPr>
              <w:spacing w:after="0" w:line="240" w:lineRule="auto"/>
              <w:jc w:val="center"/>
              <w:rPr>
                <w:rFonts w:ascii="Arial" w:eastAsia="Times New Roman" w:hAnsi="Arial" w:cs="Arial"/>
                <w:color w:val="000000"/>
                <w:szCs w:val="24"/>
                <w:lang w:eastAsia="es-MX"/>
              </w:rPr>
            </w:pPr>
            <w:r w:rsidRPr="00154572">
              <w:rPr>
                <w:rFonts w:ascii="Arial" w:eastAsia="Times New Roman" w:hAnsi="Arial" w:cs="Arial"/>
                <w:color w:val="000000"/>
                <w:szCs w:val="24"/>
                <w:lang w:eastAsia="es-MX"/>
              </w:rPr>
              <w:t>Rezago Educativo</w:t>
            </w:r>
            <w:r w:rsidRPr="00154572">
              <w:rPr>
                <w:rFonts w:ascii="Arial" w:eastAsia="Times New Roman" w:hAnsi="Arial" w:cs="Arial"/>
                <w:color w:val="000000"/>
                <w:szCs w:val="24"/>
                <w:lang w:eastAsia="es-MX"/>
              </w:rPr>
              <w:br/>
              <w:t>Tipo: Presupuestario</w:t>
            </w:r>
          </w:p>
        </w:tc>
        <w:tc>
          <w:tcPr>
            <w:tcW w:w="3140" w:type="dxa"/>
            <w:tcBorders>
              <w:top w:val="nil"/>
              <w:left w:val="nil"/>
              <w:bottom w:val="single" w:sz="4" w:space="0" w:color="auto"/>
              <w:right w:val="single" w:sz="4" w:space="0" w:color="auto"/>
            </w:tcBorders>
            <w:shd w:val="clear" w:color="auto" w:fill="auto"/>
            <w:vAlign w:val="bottom"/>
            <w:hideMark/>
          </w:tcPr>
          <w:p w14:paraId="10B2CD22" w14:textId="77777777" w:rsidR="009D30F9" w:rsidRPr="00154572" w:rsidRDefault="009D30F9" w:rsidP="009D30F9">
            <w:pPr>
              <w:spacing w:after="0" w:line="240" w:lineRule="auto"/>
              <w:rPr>
                <w:rFonts w:ascii="Arial" w:eastAsia="Times New Roman" w:hAnsi="Arial" w:cs="Arial"/>
                <w:color w:val="000000"/>
                <w:szCs w:val="24"/>
                <w:lang w:eastAsia="es-MX"/>
              </w:rPr>
            </w:pPr>
            <w:r w:rsidRPr="00154572">
              <w:rPr>
                <w:rFonts w:ascii="Arial" w:eastAsia="Times New Roman" w:hAnsi="Arial" w:cs="Arial"/>
                <w:color w:val="000000"/>
                <w:szCs w:val="24"/>
                <w:lang w:eastAsia="es-MX"/>
              </w:rPr>
              <w:t>Actividad Programática: Atención a la Población Joven y Adulta de 15 años en adelante a través del IEAEY</w:t>
            </w:r>
          </w:p>
        </w:tc>
        <w:tc>
          <w:tcPr>
            <w:tcW w:w="1920" w:type="dxa"/>
            <w:tcBorders>
              <w:top w:val="nil"/>
              <w:left w:val="nil"/>
              <w:bottom w:val="single" w:sz="4" w:space="0" w:color="auto"/>
              <w:right w:val="single" w:sz="4" w:space="0" w:color="auto"/>
            </w:tcBorders>
            <w:shd w:val="clear" w:color="auto" w:fill="auto"/>
            <w:noWrap/>
            <w:vAlign w:val="center"/>
            <w:hideMark/>
          </w:tcPr>
          <w:p w14:paraId="36744DF8" w14:textId="77777777" w:rsidR="009D30F9" w:rsidRPr="00154572" w:rsidRDefault="009D30F9" w:rsidP="009D30F9">
            <w:pPr>
              <w:spacing w:after="0" w:line="240" w:lineRule="auto"/>
              <w:jc w:val="right"/>
              <w:rPr>
                <w:rFonts w:ascii="Arial" w:eastAsia="Times New Roman" w:hAnsi="Arial" w:cs="Arial"/>
                <w:color w:val="000000"/>
                <w:szCs w:val="24"/>
                <w:lang w:eastAsia="es-MX"/>
              </w:rPr>
            </w:pPr>
            <w:r w:rsidRPr="00154572">
              <w:rPr>
                <w:rFonts w:ascii="Arial" w:eastAsia="Times New Roman" w:hAnsi="Arial" w:cs="Arial"/>
                <w:color w:val="000000"/>
                <w:szCs w:val="24"/>
                <w:lang w:eastAsia="es-MX"/>
              </w:rPr>
              <w:t>30,707,582</w:t>
            </w:r>
          </w:p>
        </w:tc>
      </w:tr>
      <w:tr w:rsidR="009D30F9" w:rsidRPr="0084402E" w14:paraId="4664FFAC" w14:textId="77777777" w:rsidTr="009D30F9">
        <w:trPr>
          <w:trHeight w:val="645"/>
          <w:jc w:val="center"/>
        </w:trPr>
        <w:tc>
          <w:tcPr>
            <w:tcW w:w="2500" w:type="dxa"/>
            <w:vMerge/>
            <w:tcBorders>
              <w:top w:val="nil"/>
              <w:left w:val="single" w:sz="4" w:space="0" w:color="auto"/>
              <w:bottom w:val="single" w:sz="4" w:space="0" w:color="auto"/>
              <w:right w:val="single" w:sz="4" w:space="0" w:color="auto"/>
            </w:tcBorders>
            <w:vAlign w:val="center"/>
            <w:hideMark/>
          </w:tcPr>
          <w:p w14:paraId="79A991FC" w14:textId="77777777" w:rsidR="009D30F9" w:rsidRPr="00154572" w:rsidRDefault="009D30F9" w:rsidP="009D30F9">
            <w:pPr>
              <w:spacing w:after="0" w:line="240" w:lineRule="auto"/>
              <w:rPr>
                <w:rFonts w:ascii="Arial" w:eastAsia="Times New Roman" w:hAnsi="Arial" w:cs="Arial"/>
                <w:color w:val="000000"/>
                <w:szCs w:val="24"/>
                <w:lang w:eastAsia="es-MX"/>
              </w:rPr>
            </w:pPr>
          </w:p>
        </w:tc>
        <w:tc>
          <w:tcPr>
            <w:tcW w:w="3140" w:type="dxa"/>
            <w:tcBorders>
              <w:top w:val="nil"/>
              <w:left w:val="nil"/>
              <w:bottom w:val="single" w:sz="4" w:space="0" w:color="auto"/>
              <w:right w:val="single" w:sz="4" w:space="0" w:color="auto"/>
            </w:tcBorders>
            <w:shd w:val="clear" w:color="auto" w:fill="auto"/>
            <w:vAlign w:val="bottom"/>
            <w:hideMark/>
          </w:tcPr>
          <w:p w14:paraId="79526C7A" w14:textId="77777777" w:rsidR="009D30F9" w:rsidRPr="00154572" w:rsidRDefault="009D30F9" w:rsidP="009D30F9">
            <w:pPr>
              <w:spacing w:after="0" w:line="240" w:lineRule="auto"/>
              <w:rPr>
                <w:rFonts w:ascii="Arial" w:eastAsia="Times New Roman" w:hAnsi="Arial" w:cs="Arial"/>
                <w:color w:val="000000"/>
                <w:szCs w:val="24"/>
                <w:lang w:eastAsia="es-MX"/>
              </w:rPr>
            </w:pPr>
            <w:r w:rsidRPr="00154572">
              <w:rPr>
                <w:rFonts w:ascii="Arial" w:eastAsia="Times New Roman" w:hAnsi="Arial" w:cs="Arial"/>
                <w:color w:val="000000"/>
                <w:szCs w:val="24"/>
                <w:lang w:eastAsia="es-MX"/>
              </w:rPr>
              <w:t>Presupuesto Institucional de Servicios Personales IEAEY</w:t>
            </w:r>
          </w:p>
        </w:tc>
        <w:tc>
          <w:tcPr>
            <w:tcW w:w="1920" w:type="dxa"/>
            <w:tcBorders>
              <w:top w:val="nil"/>
              <w:left w:val="nil"/>
              <w:bottom w:val="single" w:sz="4" w:space="0" w:color="auto"/>
              <w:right w:val="single" w:sz="4" w:space="0" w:color="auto"/>
            </w:tcBorders>
            <w:shd w:val="clear" w:color="auto" w:fill="auto"/>
            <w:noWrap/>
            <w:vAlign w:val="center"/>
            <w:hideMark/>
          </w:tcPr>
          <w:p w14:paraId="6A186EF1" w14:textId="77777777" w:rsidR="009D30F9" w:rsidRPr="00154572" w:rsidRDefault="009D30F9" w:rsidP="009D30F9">
            <w:pPr>
              <w:spacing w:after="0" w:line="240" w:lineRule="auto"/>
              <w:jc w:val="right"/>
              <w:rPr>
                <w:rFonts w:ascii="Arial" w:eastAsia="Times New Roman" w:hAnsi="Arial" w:cs="Arial"/>
                <w:color w:val="000000"/>
                <w:szCs w:val="24"/>
                <w:lang w:eastAsia="es-MX"/>
              </w:rPr>
            </w:pPr>
            <w:r w:rsidRPr="00154572">
              <w:rPr>
                <w:rFonts w:ascii="Arial" w:eastAsia="Times New Roman" w:hAnsi="Arial" w:cs="Arial"/>
                <w:color w:val="000000"/>
                <w:szCs w:val="24"/>
                <w:lang w:eastAsia="es-MX"/>
              </w:rPr>
              <w:t>39,795,148</w:t>
            </w:r>
          </w:p>
        </w:tc>
      </w:tr>
      <w:tr w:rsidR="009D30F9" w:rsidRPr="0084402E" w14:paraId="440A9F60" w14:textId="77777777" w:rsidTr="009D30F9">
        <w:trPr>
          <w:trHeight w:val="855"/>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BB14772" w14:textId="77777777" w:rsidR="009D30F9" w:rsidRPr="00154572" w:rsidRDefault="009D30F9" w:rsidP="009D30F9">
            <w:pPr>
              <w:spacing w:after="0" w:line="240" w:lineRule="auto"/>
              <w:jc w:val="center"/>
              <w:rPr>
                <w:rFonts w:ascii="Arial" w:eastAsia="Times New Roman" w:hAnsi="Arial" w:cs="Arial"/>
                <w:color w:val="000000"/>
                <w:szCs w:val="24"/>
                <w:lang w:eastAsia="es-MX"/>
              </w:rPr>
            </w:pPr>
            <w:r w:rsidRPr="00154572">
              <w:rPr>
                <w:rFonts w:ascii="Arial" w:eastAsia="Times New Roman" w:hAnsi="Arial" w:cs="Arial"/>
                <w:color w:val="000000"/>
                <w:szCs w:val="24"/>
                <w:lang w:eastAsia="es-MX"/>
              </w:rPr>
              <w:t>Gestión del Sistema Educativo</w:t>
            </w:r>
            <w:r w:rsidRPr="00154572">
              <w:rPr>
                <w:rFonts w:ascii="Arial" w:eastAsia="Times New Roman" w:hAnsi="Arial" w:cs="Arial"/>
                <w:color w:val="000000"/>
                <w:szCs w:val="24"/>
                <w:lang w:eastAsia="es-MX"/>
              </w:rPr>
              <w:br/>
              <w:t>Tipo: Institucional</w:t>
            </w:r>
          </w:p>
        </w:tc>
        <w:tc>
          <w:tcPr>
            <w:tcW w:w="3140" w:type="dxa"/>
            <w:tcBorders>
              <w:top w:val="nil"/>
              <w:left w:val="nil"/>
              <w:bottom w:val="single" w:sz="4" w:space="0" w:color="auto"/>
              <w:right w:val="single" w:sz="4" w:space="0" w:color="auto"/>
            </w:tcBorders>
            <w:shd w:val="clear" w:color="auto" w:fill="auto"/>
            <w:vAlign w:val="bottom"/>
            <w:hideMark/>
          </w:tcPr>
          <w:p w14:paraId="4B0EB1B6" w14:textId="77777777" w:rsidR="009D30F9" w:rsidRPr="00154572" w:rsidRDefault="009D30F9" w:rsidP="009D30F9">
            <w:pPr>
              <w:spacing w:after="0" w:line="240" w:lineRule="auto"/>
              <w:rPr>
                <w:rFonts w:ascii="Arial" w:eastAsia="Times New Roman" w:hAnsi="Arial" w:cs="Arial"/>
                <w:color w:val="000000"/>
                <w:szCs w:val="24"/>
                <w:lang w:eastAsia="es-MX"/>
              </w:rPr>
            </w:pPr>
            <w:r w:rsidRPr="00154572">
              <w:rPr>
                <w:rFonts w:ascii="Arial" w:eastAsia="Times New Roman" w:hAnsi="Arial" w:cs="Arial"/>
                <w:color w:val="000000"/>
                <w:szCs w:val="24"/>
                <w:lang w:eastAsia="es-MX"/>
              </w:rPr>
              <w:t>Gastos de Administración del IEAEY</w:t>
            </w:r>
          </w:p>
        </w:tc>
        <w:tc>
          <w:tcPr>
            <w:tcW w:w="1920" w:type="dxa"/>
            <w:tcBorders>
              <w:top w:val="nil"/>
              <w:left w:val="nil"/>
              <w:bottom w:val="single" w:sz="4" w:space="0" w:color="auto"/>
              <w:right w:val="single" w:sz="4" w:space="0" w:color="auto"/>
            </w:tcBorders>
            <w:shd w:val="clear" w:color="auto" w:fill="auto"/>
            <w:noWrap/>
            <w:vAlign w:val="center"/>
            <w:hideMark/>
          </w:tcPr>
          <w:p w14:paraId="0DC47008" w14:textId="77777777" w:rsidR="009D30F9" w:rsidRPr="00154572" w:rsidRDefault="009D30F9" w:rsidP="009D30F9">
            <w:pPr>
              <w:spacing w:after="0" w:line="240" w:lineRule="auto"/>
              <w:jc w:val="right"/>
              <w:rPr>
                <w:rFonts w:ascii="Arial" w:eastAsia="Times New Roman" w:hAnsi="Arial" w:cs="Arial"/>
                <w:color w:val="000000"/>
                <w:szCs w:val="24"/>
                <w:lang w:eastAsia="es-MX"/>
              </w:rPr>
            </w:pPr>
            <w:r w:rsidRPr="00154572">
              <w:rPr>
                <w:rFonts w:ascii="Arial" w:eastAsia="Times New Roman" w:hAnsi="Arial" w:cs="Arial"/>
                <w:color w:val="000000"/>
                <w:szCs w:val="24"/>
                <w:lang w:eastAsia="es-MX"/>
              </w:rPr>
              <w:t>19,595,734</w:t>
            </w:r>
          </w:p>
        </w:tc>
      </w:tr>
      <w:tr w:rsidR="009D30F9" w:rsidRPr="0084402E" w14:paraId="066A53DA" w14:textId="77777777" w:rsidTr="009D30F9">
        <w:trPr>
          <w:trHeight w:val="300"/>
          <w:jc w:val="center"/>
        </w:trPr>
        <w:tc>
          <w:tcPr>
            <w:tcW w:w="5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0EFC1" w14:textId="77777777" w:rsidR="009D30F9" w:rsidRPr="00154572" w:rsidRDefault="009D30F9" w:rsidP="009D30F9">
            <w:pPr>
              <w:spacing w:after="0" w:line="240" w:lineRule="auto"/>
              <w:rPr>
                <w:rFonts w:ascii="Arial" w:eastAsia="Times New Roman" w:hAnsi="Arial" w:cs="Arial"/>
                <w:color w:val="000000"/>
                <w:szCs w:val="24"/>
                <w:lang w:eastAsia="es-MX"/>
              </w:rPr>
            </w:pPr>
            <w:r w:rsidRPr="00154572">
              <w:rPr>
                <w:rFonts w:ascii="Arial" w:eastAsia="Times New Roman" w:hAnsi="Arial" w:cs="Arial"/>
                <w:color w:val="000000"/>
                <w:szCs w:val="24"/>
                <w:lang w:eastAsia="es-MX"/>
              </w:rPr>
              <w:t>PRESUPU</w:t>
            </w:r>
            <w:r w:rsidR="005F5C23" w:rsidRPr="00154572">
              <w:rPr>
                <w:rFonts w:ascii="Arial" w:eastAsia="Times New Roman" w:hAnsi="Arial" w:cs="Arial"/>
                <w:color w:val="000000"/>
                <w:szCs w:val="24"/>
                <w:lang w:eastAsia="es-MX"/>
              </w:rPr>
              <w:t>E</w:t>
            </w:r>
            <w:r w:rsidRPr="00154572">
              <w:rPr>
                <w:rFonts w:ascii="Arial" w:eastAsia="Times New Roman" w:hAnsi="Arial" w:cs="Arial"/>
                <w:color w:val="000000"/>
                <w:szCs w:val="24"/>
                <w:lang w:eastAsia="es-MX"/>
              </w:rPr>
              <w:t>STO IEAEY 2014 ORIGINAL</w:t>
            </w:r>
          </w:p>
        </w:tc>
        <w:tc>
          <w:tcPr>
            <w:tcW w:w="1920" w:type="dxa"/>
            <w:tcBorders>
              <w:top w:val="nil"/>
              <w:left w:val="nil"/>
              <w:bottom w:val="single" w:sz="4" w:space="0" w:color="auto"/>
              <w:right w:val="single" w:sz="4" w:space="0" w:color="auto"/>
            </w:tcBorders>
            <w:shd w:val="clear" w:color="auto" w:fill="auto"/>
            <w:noWrap/>
            <w:vAlign w:val="bottom"/>
            <w:hideMark/>
          </w:tcPr>
          <w:p w14:paraId="614A9CB2" w14:textId="77777777" w:rsidR="009D30F9" w:rsidRPr="00154572" w:rsidRDefault="009D30F9" w:rsidP="009D30F9">
            <w:pPr>
              <w:spacing w:after="0" w:line="240" w:lineRule="auto"/>
              <w:jc w:val="right"/>
              <w:rPr>
                <w:rFonts w:ascii="Arial" w:eastAsia="Times New Roman" w:hAnsi="Arial" w:cs="Arial"/>
                <w:color w:val="000000"/>
                <w:szCs w:val="24"/>
                <w:lang w:eastAsia="es-MX"/>
              </w:rPr>
            </w:pPr>
            <w:r w:rsidRPr="00154572">
              <w:rPr>
                <w:rFonts w:ascii="Arial" w:eastAsia="Times New Roman" w:hAnsi="Arial" w:cs="Arial"/>
                <w:color w:val="000000"/>
                <w:szCs w:val="24"/>
                <w:lang w:eastAsia="es-MX"/>
              </w:rPr>
              <w:t>90,098,464</w:t>
            </w:r>
          </w:p>
        </w:tc>
      </w:tr>
      <w:tr w:rsidR="009D30F9" w:rsidRPr="005F4771" w14:paraId="2A248281" w14:textId="77777777" w:rsidTr="009D30F9">
        <w:trPr>
          <w:trHeight w:val="255"/>
          <w:jc w:val="center"/>
        </w:trPr>
        <w:tc>
          <w:tcPr>
            <w:tcW w:w="7560" w:type="dxa"/>
            <w:gridSpan w:val="3"/>
            <w:tcBorders>
              <w:top w:val="nil"/>
              <w:left w:val="nil"/>
              <w:bottom w:val="nil"/>
              <w:right w:val="nil"/>
            </w:tcBorders>
            <w:shd w:val="clear" w:color="auto" w:fill="auto"/>
            <w:noWrap/>
            <w:vAlign w:val="bottom"/>
            <w:hideMark/>
          </w:tcPr>
          <w:p w14:paraId="381F76FC" w14:textId="77777777" w:rsidR="009D30F9" w:rsidRPr="005F4771" w:rsidRDefault="009D30F9" w:rsidP="009D30F9">
            <w:pPr>
              <w:spacing w:after="0" w:line="240" w:lineRule="auto"/>
              <w:rPr>
                <w:rFonts w:ascii="Arial" w:eastAsia="Times New Roman" w:hAnsi="Arial" w:cs="Arial"/>
                <w:b/>
                <w:color w:val="000000"/>
                <w:sz w:val="20"/>
                <w:szCs w:val="24"/>
                <w:lang w:eastAsia="es-MX"/>
              </w:rPr>
            </w:pPr>
            <w:r w:rsidRPr="005F4771">
              <w:rPr>
                <w:rFonts w:ascii="Arial" w:eastAsia="Times New Roman" w:hAnsi="Arial" w:cs="Arial"/>
                <w:b/>
                <w:color w:val="000000"/>
                <w:sz w:val="20"/>
                <w:szCs w:val="24"/>
                <w:lang w:eastAsia="es-MX"/>
              </w:rPr>
              <w:t>Fuente: Programas Operativos Anuales 2014 del IEAY (SAF de Yucatán)</w:t>
            </w:r>
          </w:p>
        </w:tc>
      </w:tr>
    </w:tbl>
    <w:p w14:paraId="55AF6A5A" w14:textId="77777777" w:rsidR="009D30F9" w:rsidRPr="0084402E" w:rsidRDefault="009D30F9" w:rsidP="00355CC5">
      <w:pPr>
        <w:spacing w:after="0" w:line="360" w:lineRule="auto"/>
        <w:jc w:val="both"/>
        <w:rPr>
          <w:rFonts w:ascii="Arial" w:eastAsiaTheme="minorEastAsia" w:hAnsi="Arial" w:cs="Arial"/>
          <w:sz w:val="24"/>
          <w:szCs w:val="24"/>
        </w:rPr>
      </w:pPr>
    </w:p>
    <w:p w14:paraId="458FD038" w14:textId="77777777" w:rsidR="00FC6317" w:rsidRPr="0084402E" w:rsidRDefault="00FC6317" w:rsidP="00355CC5">
      <w:pPr>
        <w:spacing w:after="0" w:line="360" w:lineRule="auto"/>
        <w:jc w:val="both"/>
        <w:rPr>
          <w:rFonts w:ascii="Arial" w:eastAsiaTheme="minorEastAsia" w:hAnsi="Arial" w:cs="Arial"/>
          <w:sz w:val="24"/>
          <w:szCs w:val="24"/>
        </w:rPr>
      </w:pPr>
    </w:p>
    <w:p w14:paraId="3933BFCC" w14:textId="5FEE06BF" w:rsidR="00355CC5" w:rsidRPr="0084402E" w:rsidRDefault="006E4FEF" w:rsidP="00355CC5">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El 68.65</w:t>
      </w:r>
      <w:r w:rsidR="00267DC1" w:rsidRPr="0084402E">
        <w:rPr>
          <w:rFonts w:ascii="Arial" w:eastAsiaTheme="minorEastAsia" w:hAnsi="Arial" w:cs="Arial"/>
          <w:sz w:val="24"/>
          <w:szCs w:val="24"/>
        </w:rPr>
        <w:t xml:space="preserve">% </w:t>
      </w:r>
      <w:r w:rsidR="005F5C23" w:rsidRPr="0084402E">
        <w:rPr>
          <w:rFonts w:ascii="Arial" w:eastAsiaTheme="minorEastAsia" w:hAnsi="Arial" w:cs="Arial"/>
          <w:sz w:val="24"/>
          <w:szCs w:val="24"/>
        </w:rPr>
        <w:t xml:space="preserve">del presupuesto </w:t>
      </w:r>
      <w:r w:rsidRPr="0084402E">
        <w:rPr>
          <w:rFonts w:ascii="Arial" w:eastAsiaTheme="minorEastAsia" w:hAnsi="Arial" w:cs="Arial"/>
          <w:sz w:val="24"/>
          <w:szCs w:val="24"/>
        </w:rPr>
        <w:t xml:space="preserve">original </w:t>
      </w:r>
      <w:r w:rsidR="005F5C23" w:rsidRPr="0084402E">
        <w:rPr>
          <w:rFonts w:ascii="Arial" w:eastAsiaTheme="minorEastAsia" w:hAnsi="Arial" w:cs="Arial"/>
          <w:sz w:val="24"/>
          <w:szCs w:val="24"/>
        </w:rPr>
        <w:t>del IEA</w:t>
      </w:r>
      <w:r w:rsidR="00DE616D">
        <w:rPr>
          <w:rFonts w:ascii="Arial" w:eastAsiaTheme="minorEastAsia" w:hAnsi="Arial" w:cs="Arial"/>
          <w:sz w:val="24"/>
          <w:szCs w:val="24"/>
        </w:rPr>
        <w:t>E</w:t>
      </w:r>
      <w:r w:rsidR="005F5C23" w:rsidRPr="0084402E">
        <w:rPr>
          <w:rFonts w:ascii="Arial" w:eastAsiaTheme="minorEastAsia" w:hAnsi="Arial" w:cs="Arial"/>
          <w:sz w:val="24"/>
          <w:szCs w:val="24"/>
        </w:rPr>
        <w:t>Y</w:t>
      </w:r>
      <w:r w:rsidR="001F2516" w:rsidRPr="0084402E">
        <w:rPr>
          <w:rFonts w:ascii="Arial" w:eastAsiaTheme="minorEastAsia" w:hAnsi="Arial" w:cs="Arial"/>
          <w:sz w:val="24"/>
          <w:szCs w:val="24"/>
        </w:rPr>
        <w:t xml:space="preserve">, que equivale a un monto </w:t>
      </w:r>
      <w:r w:rsidRPr="0084402E">
        <w:rPr>
          <w:rFonts w:ascii="Arial" w:eastAsiaTheme="minorEastAsia" w:hAnsi="Arial" w:cs="Arial"/>
          <w:sz w:val="24"/>
          <w:szCs w:val="24"/>
        </w:rPr>
        <w:t>autorizado</w:t>
      </w:r>
      <w:r w:rsidR="001F2516" w:rsidRPr="0084402E">
        <w:rPr>
          <w:rFonts w:ascii="Arial" w:eastAsiaTheme="minorEastAsia" w:hAnsi="Arial" w:cs="Arial"/>
          <w:sz w:val="24"/>
          <w:szCs w:val="24"/>
        </w:rPr>
        <w:t xml:space="preserve"> de </w:t>
      </w:r>
      <w:r w:rsidR="005F5775" w:rsidRPr="0084402E">
        <w:rPr>
          <w:rFonts w:ascii="Arial" w:eastAsiaTheme="minorEastAsia" w:hAnsi="Arial" w:cs="Arial"/>
          <w:sz w:val="24"/>
          <w:szCs w:val="24"/>
        </w:rPr>
        <w:t>$</w:t>
      </w:r>
      <w:r w:rsidRPr="0084402E">
        <w:rPr>
          <w:rFonts w:ascii="Arial" w:eastAsia="Times New Roman" w:hAnsi="Arial" w:cs="Arial"/>
          <w:color w:val="000000"/>
          <w:sz w:val="24"/>
          <w:szCs w:val="24"/>
          <w:lang w:eastAsia="es-MX"/>
        </w:rPr>
        <w:t>61,857,968</w:t>
      </w:r>
      <w:r w:rsidR="005F5775" w:rsidRPr="0084402E">
        <w:rPr>
          <w:rStyle w:val="Refdenotaalpie"/>
          <w:rFonts w:ascii="Arial" w:eastAsia="Times New Roman" w:hAnsi="Arial" w:cs="Arial"/>
          <w:color w:val="000000"/>
          <w:sz w:val="24"/>
          <w:szCs w:val="24"/>
          <w:lang w:eastAsia="es-MX"/>
        </w:rPr>
        <w:footnoteReference w:id="1"/>
      </w:r>
      <w:r w:rsidR="005F5C23" w:rsidRPr="0084402E">
        <w:rPr>
          <w:rFonts w:ascii="Arial" w:eastAsiaTheme="minorEastAsia" w:hAnsi="Arial" w:cs="Arial"/>
          <w:sz w:val="24"/>
          <w:szCs w:val="24"/>
        </w:rPr>
        <w:t xml:space="preserve"> </w:t>
      </w:r>
      <w:r w:rsidR="001F2516" w:rsidRPr="0084402E">
        <w:rPr>
          <w:rFonts w:ascii="Arial" w:eastAsiaTheme="minorEastAsia" w:hAnsi="Arial" w:cs="Arial"/>
          <w:sz w:val="24"/>
          <w:szCs w:val="24"/>
        </w:rPr>
        <w:t xml:space="preserve">pesos, </w:t>
      </w:r>
      <w:r w:rsidR="005F5C23" w:rsidRPr="0084402E">
        <w:rPr>
          <w:rFonts w:ascii="Arial" w:eastAsiaTheme="minorEastAsia" w:hAnsi="Arial" w:cs="Arial"/>
          <w:sz w:val="24"/>
          <w:szCs w:val="24"/>
        </w:rPr>
        <w:t>es financiado por el FAETA</w:t>
      </w:r>
      <w:r w:rsidR="00446F48" w:rsidRPr="0084402E">
        <w:rPr>
          <w:rFonts w:ascii="Arial" w:eastAsiaTheme="minorEastAsia" w:hAnsi="Arial" w:cs="Arial"/>
          <w:sz w:val="24"/>
          <w:szCs w:val="24"/>
        </w:rPr>
        <w:t>, y el Instituto lo destina a la prestación de los siguientes servicios:</w:t>
      </w:r>
    </w:p>
    <w:p w14:paraId="1151CB94" w14:textId="77777777" w:rsidR="00446F48" w:rsidRPr="0084402E" w:rsidRDefault="00446F48" w:rsidP="00446F48">
      <w:pPr>
        <w:pStyle w:val="Prrafodelista"/>
        <w:numPr>
          <w:ilvl w:val="0"/>
          <w:numId w:val="19"/>
        </w:num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Alfabetización en primaria que corresponde al nivel inicial para el desarrollo de competencias básicas de lectura y escritura de lengua maya y del español, considerando el grado de bilingüismo o manejo de su lengua materna (maya). O bien, se inicia o se mejora el aprendizaje del español como segunda lengua.</w:t>
      </w:r>
    </w:p>
    <w:p w14:paraId="09FBB7C6" w14:textId="77777777" w:rsidR="00446F48" w:rsidRPr="0084402E" w:rsidRDefault="00446F48" w:rsidP="00446F48">
      <w:pPr>
        <w:pStyle w:val="Prrafodelista"/>
        <w:numPr>
          <w:ilvl w:val="0"/>
          <w:numId w:val="19"/>
        </w:num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Educación secundaria: revalidación de estudios o servicios educativos para su conclusión</w:t>
      </w:r>
      <w:r w:rsidR="006E4FEF" w:rsidRPr="0084402E">
        <w:rPr>
          <w:rFonts w:ascii="Arial" w:eastAsiaTheme="minorEastAsia" w:hAnsi="Arial" w:cs="Arial"/>
          <w:sz w:val="24"/>
          <w:szCs w:val="24"/>
        </w:rPr>
        <w:t>.</w:t>
      </w:r>
    </w:p>
    <w:p w14:paraId="18C5D397" w14:textId="734242CA" w:rsidR="00446F48" w:rsidRPr="0084402E" w:rsidRDefault="00446F48" w:rsidP="00446F48">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Las clases se imparten en Plazas Comunitarias que son espacios educativos abiertos a la comunidad en las que se ofrecen </w:t>
      </w:r>
      <w:r w:rsidR="008872C8" w:rsidRPr="0084402E">
        <w:rPr>
          <w:rFonts w:ascii="Arial" w:eastAsiaTheme="minorEastAsia" w:hAnsi="Arial" w:cs="Arial"/>
          <w:sz w:val="24"/>
          <w:szCs w:val="24"/>
        </w:rPr>
        <w:t>los servicios educativos para personas jóvenes y adultos que no han concluido su primaria y secundaria</w:t>
      </w:r>
      <w:r w:rsidR="00DE616D">
        <w:rPr>
          <w:rFonts w:ascii="Arial" w:eastAsiaTheme="minorEastAsia" w:hAnsi="Arial" w:cs="Arial"/>
          <w:sz w:val="24"/>
          <w:szCs w:val="24"/>
        </w:rPr>
        <w:t>, así  como</w:t>
      </w:r>
      <w:r w:rsidR="008872C8" w:rsidRPr="0084402E">
        <w:rPr>
          <w:rFonts w:ascii="Arial" w:eastAsiaTheme="minorEastAsia" w:hAnsi="Arial" w:cs="Arial"/>
          <w:sz w:val="24"/>
          <w:szCs w:val="24"/>
        </w:rPr>
        <w:t xml:space="preserve"> la certificación de sus conocimientos. </w:t>
      </w:r>
    </w:p>
    <w:p w14:paraId="78530538" w14:textId="77777777" w:rsidR="00440FA9" w:rsidRPr="0084402E" w:rsidRDefault="00440FA9" w:rsidP="00446F48">
      <w:pPr>
        <w:spacing w:after="0" w:line="360" w:lineRule="auto"/>
        <w:jc w:val="both"/>
        <w:rPr>
          <w:rFonts w:ascii="Arial" w:eastAsiaTheme="minorEastAsia" w:hAnsi="Arial" w:cs="Arial"/>
          <w:sz w:val="24"/>
          <w:szCs w:val="24"/>
        </w:rPr>
      </w:pPr>
    </w:p>
    <w:p w14:paraId="23FC2C7B" w14:textId="77777777" w:rsidR="00440FA9" w:rsidRPr="0084402E" w:rsidRDefault="00440FA9" w:rsidP="00446F48">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De acuerdo con el objetivo del Fondo, como se ha mencionado, la población a la que está dirigido el programa son las personas de 15 años o más en situación de rezago educativo, es decir, que no saben leer y escribir, que no han concluido su educación primaria o que no han concluido su educación secundaria. </w:t>
      </w:r>
      <w:r w:rsidR="00AB7363" w:rsidRPr="0084402E">
        <w:rPr>
          <w:rFonts w:ascii="Arial" w:eastAsiaTheme="minorEastAsia" w:hAnsi="Arial" w:cs="Arial"/>
          <w:sz w:val="24"/>
          <w:szCs w:val="24"/>
        </w:rPr>
        <w:t>Sin embargo, también se atienden a personas de 10 a 14 años que han entrado en situación de rezago educativo. La población potencial está cuantificada</w:t>
      </w:r>
      <w:r w:rsidR="00BC3DCB" w:rsidRPr="0084402E">
        <w:rPr>
          <w:rFonts w:ascii="Arial" w:eastAsiaTheme="minorEastAsia" w:hAnsi="Arial" w:cs="Arial"/>
          <w:sz w:val="24"/>
          <w:szCs w:val="24"/>
        </w:rPr>
        <w:t xml:space="preserve"> por nivel de rezago, por género</w:t>
      </w:r>
      <w:r w:rsidR="00AB7363" w:rsidRPr="0084402E">
        <w:rPr>
          <w:rFonts w:ascii="Arial" w:eastAsiaTheme="minorEastAsia" w:hAnsi="Arial" w:cs="Arial"/>
          <w:sz w:val="24"/>
          <w:szCs w:val="24"/>
        </w:rPr>
        <w:t xml:space="preserve">, por región y por su condición de mayahablantes o no mayahablantes. </w:t>
      </w:r>
    </w:p>
    <w:p w14:paraId="1C433D55" w14:textId="77777777" w:rsidR="00BC3DCB" w:rsidRPr="0084402E" w:rsidRDefault="00BC3DCB" w:rsidP="00BC3DCB">
      <w:pPr>
        <w:spacing w:after="0" w:line="360" w:lineRule="auto"/>
        <w:rPr>
          <w:rFonts w:ascii="Arial" w:eastAsiaTheme="minorEastAsia" w:hAnsi="Arial" w:cs="Arial"/>
          <w:sz w:val="24"/>
          <w:szCs w:val="24"/>
        </w:rPr>
      </w:pPr>
    </w:p>
    <w:p w14:paraId="5A94A6C4" w14:textId="03D096F6" w:rsidR="00355CC5" w:rsidRPr="0084402E" w:rsidRDefault="00355CC5" w:rsidP="00355CC5">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En virtud de la distribución competencial que del servicio educativo se tiene entre el gobierno federal y los estados, </w:t>
      </w:r>
      <w:r w:rsidR="00F87A05" w:rsidRPr="0084402E">
        <w:rPr>
          <w:rFonts w:ascii="Arial" w:eastAsiaTheme="minorEastAsia" w:hAnsi="Arial" w:cs="Arial"/>
          <w:sz w:val="24"/>
          <w:szCs w:val="24"/>
        </w:rPr>
        <w:t xml:space="preserve">la política educativa, la normatividad y los lineamientos para la ejecución </w:t>
      </w:r>
      <w:r w:rsidR="0076397F" w:rsidRPr="0084402E">
        <w:rPr>
          <w:rFonts w:ascii="Arial" w:eastAsiaTheme="minorEastAsia" w:hAnsi="Arial" w:cs="Arial"/>
          <w:sz w:val="24"/>
          <w:szCs w:val="24"/>
        </w:rPr>
        <w:t xml:space="preserve">de los programas de educación para adultos en las entidades federativas </w:t>
      </w:r>
      <w:r w:rsidRPr="0084402E">
        <w:rPr>
          <w:rFonts w:ascii="Arial" w:eastAsiaTheme="minorEastAsia" w:hAnsi="Arial" w:cs="Arial"/>
          <w:sz w:val="24"/>
          <w:szCs w:val="24"/>
        </w:rPr>
        <w:t>son diseñados por el gobierno federal, siendo el Instituto Nacional de Educación para Adulto</w:t>
      </w:r>
      <w:r w:rsidR="00B10EBD" w:rsidRPr="0084402E">
        <w:rPr>
          <w:rFonts w:ascii="Arial" w:eastAsiaTheme="minorEastAsia" w:hAnsi="Arial" w:cs="Arial"/>
          <w:sz w:val="24"/>
          <w:szCs w:val="24"/>
        </w:rPr>
        <w:t xml:space="preserve">s, </w:t>
      </w:r>
      <w:r w:rsidR="00B10EBD" w:rsidRPr="0084402E">
        <w:rPr>
          <w:rFonts w:ascii="Arial" w:eastAsiaTheme="minorEastAsia" w:hAnsi="Arial" w:cs="Arial"/>
          <w:sz w:val="24"/>
          <w:szCs w:val="24"/>
        </w:rPr>
        <w:lastRenderedPageBreak/>
        <w:t>INEA, la instancia normativa</w:t>
      </w:r>
      <w:r w:rsidRPr="0084402E">
        <w:rPr>
          <w:rFonts w:ascii="Arial" w:eastAsiaTheme="minorEastAsia" w:hAnsi="Arial" w:cs="Arial"/>
          <w:sz w:val="24"/>
          <w:szCs w:val="24"/>
        </w:rPr>
        <w:t xml:space="preserve"> responsable de la planeación y, en algunos casos, de la operación del programa. Cabe destacar que dicha instancia está sectorizada a la Secretaría de Educación Pública que, de acuerdo con el lineamiento Décimo de los </w:t>
      </w:r>
      <w:r w:rsidR="00AF62EB" w:rsidRPr="0084402E">
        <w:rPr>
          <w:rFonts w:ascii="Arial" w:eastAsiaTheme="minorEastAsia" w:hAnsi="Arial" w:cs="Arial"/>
          <w:sz w:val="24"/>
          <w:szCs w:val="24"/>
        </w:rPr>
        <w:t>“</w:t>
      </w:r>
      <w:r w:rsidRPr="0084402E">
        <w:rPr>
          <w:rFonts w:ascii="Arial" w:eastAsiaTheme="minorEastAsia" w:hAnsi="Arial" w:cs="Arial"/>
          <w:sz w:val="24"/>
          <w:szCs w:val="24"/>
        </w:rPr>
        <w:t>Lineamientos para informar sobre los recursos federales transferidos a las entidades federativas, municipios y demarcaciones territoriales del Distrito Federal, y de operación de los recursos del Ramo General 33</w:t>
      </w:r>
      <w:r w:rsidR="00AF62EB" w:rsidRPr="0084402E">
        <w:rPr>
          <w:rFonts w:ascii="Arial" w:eastAsiaTheme="minorEastAsia" w:hAnsi="Arial" w:cs="Arial"/>
          <w:sz w:val="24"/>
          <w:szCs w:val="24"/>
        </w:rPr>
        <w:t>”</w:t>
      </w:r>
      <w:r w:rsidRPr="0084402E">
        <w:rPr>
          <w:rFonts w:ascii="Arial" w:eastAsiaTheme="minorEastAsia" w:hAnsi="Arial" w:cs="Arial"/>
          <w:sz w:val="24"/>
          <w:szCs w:val="24"/>
        </w:rPr>
        <w:t xml:space="preserve"> (DOF 25 de abril de 2013), es la dependencia Coordinadora del FAETA. </w:t>
      </w:r>
    </w:p>
    <w:p w14:paraId="13CE9296" w14:textId="77777777" w:rsidR="00355CC5" w:rsidRPr="0084402E" w:rsidRDefault="00355CC5" w:rsidP="00355CC5">
      <w:pPr>
        <w:spacing w:after="0" w:line="360" w:lineRule="auto"/>
        <w:jc w:val="both"/>
        <w:rPr>
          <w:rFonts w:ascii="Arial" w:eastAsiaTheme="minorEastAsia" w:hAnsi="Arial" w:cs="Arial"/>
          <w:sz w:val="24"/>
          <w:szCs w:val="24"/>
        </w:rPr>
      </w:pPr>
    </w:p>
    <w:p w14:paraId="76DA2EC0" w14:textId="77777777" w:rsidR="00355CC5" w:rsidRPr="0084402E" w:rsidRDefault="00355CC5" w:rsidP="00355CC5">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Estos programas cuentan con reglas de operación emitidas cada año por el INEA que contienen los lineamientos generales y específicos acerca de los beneficiarios, la coordinación interinstitucional, la mecánica de operación, el ejercicio de los recursos, la evaluación, entre otros aspectos más específicos. El diseño y los lineamientos para operar este prog</w:t>
      </w:r>
      <w:r w:rsidR="001F2516" w:rsidRPr="0084402E">
        <w:rPr>
          <w:rFonts w:ascii="Arial" w:eastAsiaTheme="minorEastAsia" w:hAnsi="Arial" w:cs="Arial"/>
          <w:sz w:val="24"/>
          <w:szCs w:val="24"/>
        </w:rPr>
        <w:t>rama en el ejercicio fiscal 2014</w:t>
      </w:r>
      <w:r w:rsidRPr="0084402E">
        <w:rPr>
          <w:rFonts w:ascii="Arial" w:eastAsiaTheme="minorEastAsia" w:hAnsi="Arial" w:cs="Arial"/>
          <w:sz w:val="24"/>
          <w:szCs w:val="24"/>
        </w:rPr>
        <w:t xml:space="preserve"> está plasmado en las Reglas de Operación de los Programas de Atención a la Demanda de Educación para Adultos (INEA) y Modelo de Educación para la Vida y el Trabajo (INEA), en adelante Reglas de Operación, publicadas en el DOF el 25 de febrero de 2013. </w:t>
      </w:r>
    </w:p>
    <w:p w14:paraId="2B4066AD" w14:textId="77777777" w:rsidR="00355CC5" w:rsidRPr="0084402E" w:rsidRDefault="00355CC5" w:rsidP="00355CC5">
      <w:pPr>
        <w:spacing w:after="0" w:line="360" w:lineRule="auto"/>
        <w:jc w:val="both"/>
        <w:rPr>
          <w:rFonts w:ascii="Arial" w:eastAsiaTheme="minorEastAsia" w:hAnsi="Arial" w:cs="Arial"/>
          <w:sz w:val="24"/>
          <w:szCs w:val="24"/>
        </w:rPr>
      </w:pPr>
    </w:p>
    <w:p w14:paraId="60AFB61D" w14:textId="77777777" w:rsidR="00355CC5" w:rsidRPr="0084402E" w:rsidRDefault="00355CC5" w:rsidP="00355CC5">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En cuanto a los objetivos de estos programas, el apartado “Estrategia Programática” de los Ramos Generales del Presupuesto </w:t>
      </w:r>
      <w:r w:rsidR="00BC3DCB" w:rsidRPr="0084402E">
        <w:rPr>
          <w:rFonts w:ascii="Arial" w:eastAsiaTheme="minorEastAsia" w:hAnsi="Arial" w:cs="Arial"/>
          <w:sz w:val="24"/>
          <w:szCs w:val="24"/>
        </w:rPr>
        <w:t>de Egresos de la Federación 2014</w:t>
      </w:r>
      <w:r w:rsidRPr="0084402E">
        <w:rPr>
          <w:rFonts w:ascii="Arial" w:eastAsiaTheme="minorEastAsia" w:hAnsi="Arial" w:cs="Arial"/>
          <w:sz w:val="24"/>
          <w:szCs w:val="24"/>
        </w:rPr>
        <w:t>, a los cuales pertenece el Ramo 33, especifica los objetivos del fondo para ese ejercicio fiscal:</w:t>
      </w:r>
    </w:p>
    <w:p w14:paraId="4FEA6A60" w14:textId="77777777" w:rsidR="00355CC5" w:rsidRPr="0084402E" w:rsidRDefault="00355CC5" w:rsidP="00355CC5">
      <w:pPr>
        <w:spacing w:after="0" w:line="360" w:lineRule="auto"/>
        <w:jc w:val="both"/>
        <w:rPr>
          <w:rFonts w:ascii="Arial" w:eastAsiaTheme="minorEastAsia" w:hAnsi="Arial" w:cs="Arial"/>
          <w:sz w:val="24"/>
          <w:szCs w:val="24"/>
        </w:rPr>
      </w:pPr>
    </w:p>
    <w:p w14:paraId="6EFFB7AB" w14:textId="67E78210" w:rsidR="005F4771" w:rsidRDefault="00355CC5" w:rsidP="00355CC5">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“Con respecto a la educación para adultos, mediante este fondo se promueven las estrategias compensatorias para el abatimiento del rezago educativo y contener el rezago neto anual, en materia de alfabetización, educación básica y formación para el trabajo; así como a contribuir en la formación de los adultos mediante una educación que les proporcione habilidades y conocimientos que les permitan un mejor desarrollo en su vida y el trabajo”. </w:t>
      </w:r>
    </w:p>
    <w:p w14:paraId="3775A08A" w14:textId="77777777" w:rsidR="005F4771" w:rsidRDefault="005F4771">
      <w:pPr>
        <w:spacing w:after="0" w:line="240" w:lineRule="auto"/>
        <w:rPr>
          <w:rFonts w:ascii="Arial" w:eastAsiaTheme="minorEastAsia" w:hAnsi="Arial" w:cs="Arial"/>
          <w:sz w:val="24"/>
          <w:szCs w:val="24"/>
        </w:rPr>
      </w:pPr>
      <w:r>
        <w:rPr>
          <w:rFonts w:ascii="Arial" w:eastAsiaTheme="minorEastAsia" w:hAnsi="Arial" w:cs="Arial"/>
          <w:sz w:val="24"/>
          <w:szCs w:val="24"/>
        </w:rPr>
        <w:br w:type="page"/>
      </w:r>
    </w:p>
    <w:p w14:paraId="5CFA7A1D" w14:textId="77777777" w:rsidR="00C671F3" w:rsidRPr="0084402E" w:rsidRDefault="00C671F3" w:rsidP="004C0514">
      <w:pPr>
        <w:spacing w:after="0" w:line="360" w:lineRule="auto"/>
        <w:ind w:left="284"/>
        <w:jc w:val="both"/>
        <w:rPr>
          <w:rFonts w:ascii="Arial" w:eastAsiaTheme="minorEastAsia" w:hAnsi="Arial" w:cs="Arial"/>
          <w:b/>
          <w:sz w:val="24"/>
          <w:szCs w:val="24"/>
        </w:rPr>
      </w:pPr>
      <w:r w:rsidRPr="0084402E">
        <w:rPr>
          <w:rFonts w:ascii="Arial" w:eastAsiaTheme="minorEastAsia" w:hAnsi="Arial" w:cs="Arial"/>
          <w:b/>
          <w:sz w:val="24"/>
          <w:szCs w:val="24"/>
        </w:rPr>
        <w:lastRenderedPageBreak/>
        <w:t>2. ¿Cuál es el problema que se intenta resolver a través de los bienes y servicios que se ofertan a través del Programa evaluado que ejerce recursos del Fondo?</w:t>
      </w:r>
    </w:p>
    <w:p w14:paraId="102B8E6B" w14:textId="77777777" w:rsidR="004C0514" w:rsidRPr="0084402E" w:rsidRDefault="004C0514" w:rsidP="004C0514">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RESPUESTA:</w:t>
      </w:r>
    </w:p>
    <w:p w14:paraId="72035737" w14:textId="77777777" w:rsidR="004C0514" w:rsidRPr="0084402E" w:rsidRDefault="004C0514" w:rsidP="004C0514">
      <w:pPr>
        <w:spacing w:after="0" w:line="360" w:lineRule="auto"/>
        <w:jc w:val="both"/>
        <w:rPr>
          <w:rFonts w:ascii="Arial" w:eastAsiaTheme="minorEastAsia" w:hAnsi="Arial" w:cs="Arial"/>
          <w:b/>
          <w:sz w:val="24"/>
          <w:szCs w:val="24"/>
        </w:rPr>
      </w:pPr>
    </w:p>
    <w:p w14:paraId="0535C99A" w14:textId="2628DE9E" w:rsidR="004C0514" w:rsidRPr="0084402E" w:rsidRDefault="005507E0" w:rsidP="004C0514">
      <w:pPr>
        <w:spacing w:after="0" w:line="360" w:lineRule="auto"/>
        <w:ind w:left="284"/>
        <w:jc w:val="both"/>
        <w:rPr>
          <w:rFonts w:ascii="Arial" w:eastAsiaTheme="minorEastAsia" w:hAnsi="Arial" w:cs="Arial"/>
          <w:sz w:val="24"/>
          <w:szCs w:val="24"/>
        </w:rPr>
      </w:pPr>
      <w:r w:rsidRPr="0084402E">
        <w:rPr>
          <w:rFonts w:ascii="Arial" w:eastAsiaTheme="minorEastAsia" w:hAnsi="Arial" w:cs="Arial"/>
          <w:sz w:val="24"/>
          <w:szCs w:val="24"/>
        </w:rPr>
        <w:t>El problema específico que se intenta resolver es la situación de rezago educativo de la población del estado de Yucatán</w:t>
      </w:r>
      <w:r w:rsidR="008555E5" w:rsidRPr="0084402E">
        <w:rPr>
          <w:rFonts w:ascii="Arial" w:eastAsiaTheme="minorEastAsia" w:hAnsi="Arial" w:cs="Arial"/>
          <w:sz w:val="24"/>
          <w:szCs w:val="24"/>
        </w:rPr>
        <w:t xml:space="preserve">. </w:t>
      </w:r>
      <w:r w:rsidR="007C0492" w:rsidRPr="0084402E">
        <w:rPr>
          <w:rFonts w:ascii="Arial" w:eastAsiaTheme="minorEastAsia" w:hAnsi="Arial" w:cs="Arial"/>
          <w:sz w:val="24"/>
          <w:szCs w:val="24"/>
        </w:rPr>
        <w:t xml:space="preserve">De acuerdo con el diagnóstico incluido en el </w:t>
      </w:r>
      <w:r w:rsidR="008555E5" w:rsidRPr="0084402E">
        <w:rPr>
          <w:rFonts w:ascii="Arial" w:eastAsiaTheme="minorEastAsia" w:hAnsi="Arial" w:cs="Arial"/>
          <w:sz w:val="24"/>
          <w:szCs w:val="24"/>
        </w:rPr>
        <w:t xml:space="preserve">Plan Estatal </w:t>
      </w:r>
      <w:r w:rsidR="004D7A34" w:rsidRPr="0084402E">
        <w:rPr>
          <w:rFonts w:ascii="Arial" w:eastAsiaTheme="minorEastAsia" w:hAnsi="Arial" w:cs="Arial"/>
          <w:sz w:val="24"/>
          <w:szCs w:val="24"/>
        </w:rPr>
        <w:t>de Desarrollo 2012-2018 del e</w:t>
      </w:r>
      <w:r w:rsidR="008555E5" w:rsidRPr="0084402E">
        <w:rPr>
          <w:rFonts w:ascii="Arial" w:eastAsiaTheme="minorEastAsia" w:hAnsi="Arial" w:cs="Arial"/>
          <w:sz w:val="24"/>
          <w:szCs w:val="24"/>
        </w:rPr>
        <w:t xml:space="preserve">stado de Yucatán, </w:t>
      </w:r>
      <w:r w:rsidR="007C0492" w:rsidRPr="0084402E">
        <w:rPr>
          <w:rFonts w:ascii="Arial" w:eastAsiaTheme="minorEastAsia" w:hAnsi="Arial" w:cs="Arial"/>
          <w:sz w:val="24"/>
          <w:szCs w:val="24"/>
        </w:rPr>
        <w:t xml:space="preserve">en 39 municipios del estado la escolaridad promedio es menor a 6 años, es decir que en promedio la población que habita en esos municipios no ha concluido la educación primaria. En 67 municipios del estado el </w:t>
      </w:r>
      <w:r w:rsidR="000C5C93" w:rsidRPr="0084402E">
        <w:rPr>
          <w:rFonts w:ascii="Arial" w:eastAsiaTheme="minorEastAsia" w:hAnsi="Arial" w:cs="Arial"/>
          <w:sz w:val="24"/>
          <w:szCs w:val="24"/>
        </w:rPr>
        <w:t>grado de escolaridad promedio sí</w:t>
      </w:r>
      <w:r w:rsidR="007C0492" w:rsidRPr="0084402E">
        <w:rPr>
          <w:rFonts w:ascii="Arial" w:eastAsiaTheme="minorEastAsia" w:hAnsi="Arial" w:cs="Arial"/>
          <w:sz w:val="24"/>
          <w:szCs w:val="24"/>
        </w:rPr>
        <w:t xml:space="preserve"> supera la educación primaria, más no alcanza el grado de educación secundaria, con excepción del municipio de Mérida cuyo nivel de escolaridad promedio de personas de 15 años y más es mayor de 10.5 años lo que incluye el nivel secundaria. </w:t>
      </w:r>
    </w:p>
    <w:p w14:paraId="7B83CCB8" w14:textId="77777777" w:rsidR="00A358EB" w:rsidRPr="0084402E" w:rsidRDefault="00A358EB" w:rsidP="004C0514">
      <w:pPr>
        <w:spacing w:after="0" w:line="360" w:lineRule="auto"/>
        <w:ind w:left="284"/>
        <w:jc w:val="both"/>
        <w:rPr>
          <w:rFonts w:ascii="Arial" w:eastAsiaTheme="minorEastAsia" w:hAnsi="Arial" w:cs="Arial"/>
          <w:sz w:val="24"/>
          <w:szCs w:val="24"/>
        </w:rPr>
      </w:pPr>
    </w:p>
    <w:p w14:paraId="0A519C64" w14:textId="77777777" w:rsidR="00A91A85" w:rsidRPr="0084402E" w:rsidRDefault="00A91A85" w:rsidP="00A358EB">
      <w:pPr>
        <w:spacing w:after="0" w:line="360" w:lineRule="auto"/>
        <w:ind w:left="284"/>
        <w:jc w:val="both"/>
        <w:rPr>
          <w:rFonts w:ascii="Arial" w:eastAsiaTheme="minorEastAsia" w:hAnsi="Arial" w:cs="Arial"/>
          <w:sz w:val="24"/>
          <w:szCs w:val="24"/>
        </w:rPr>
      </w:pPr>
      <w:r w:rsidRPr="0084402E">
        <w:rPr>
          <w:rFonts w:ascii="Arial" w:eastAsiaTheme="minorEastAsia" w:hAnsi="Arial" w:cs="Arial"/>
          <w:sz w:val="24"/>
          <w:szCs w:val="24"/>
        </w:rPr>
        <w:t xml:space="preserve">El Programa Sectorial de Educación de Calidad del estado de Yucatán en su diagnóstico </w:t>
      </w:r>
      <w:r w:rsidR="00A358EB" w:rsidRPr="0084402E">
        <w:rPr>
          <w:rFonts w:ascii="Arial" w:eastAsiaTheme="minorEastAsia" w:hAnsi="Arial" w:cs="Arial"/>
          <w:sz w:val="24"/>
          <w:szCs w:val="24"/>
        </w:rPr>
        <w:t>reconoce</w:t>
      </w:r>
      <w:r w:rsidRPr="0084402E">
        <w:rPr>
          <w:rFonts w:ascii="Arial" w:eastAsiaTheme="minorEastAsia" w:hAnsi="Arial" w:cs="Arial"/>
          <w:sz w:val="24"/>
          <w:szCs w:val="24"/>
        </w:rPr>
        <w:t xml:space="preserve"> que en la entidad, el promedio de escolaridad es de 8.5 años, con lo que se ubica por debajo de la media nacional de 8.9, según datos reportados por el SNIE (Sistema Nacional de Información Estadística Educativa) para el ciclo escolar 2012-2013</w:t>
      </w:r>
      <w:r w:rsidR="00AC348E" w:rsidRPr="0084402E">
        <w:rPr>
          <w:rFonts w:ascii="Arial" w:eastAsiaTheme="minorEastAsia" w:hAnsi="Arial" w:cs="Arial"/>
          <w:sz w:val="24"/>
          <w:szCs w:val="24"/>
        </w:rPr>
        <w:t xml:space="preserve">. </w:t>
      </w:r>
      <w:r w:rsidR="00A358EB" w:rsidRPr="0084402E">
        <w:rPr>
          <w:rFonts w:ascii="Arial" w:eastAsiaTheme="minorEastAsia" w:hAnsi="Arial" w:cs="Arial"/>
          <w:sz w:val="24"/>
          <w:szCs w:val="24"/>
        </w:rPr>
        <w:t>También precisa que s</w:t>
      </w:r>
      <w:r w:rsidRPr="0084402E">
        <w:rPr>
          <w:rFonts w:ascii="Arial" w:eastAsiaTheme="minorEastAsia" w:hAnsi="Arial" w:cs="Arial"/>
          <w:sz w:val="24"/>
          <w:szCs w:val="24"/>
        </w:rPr>
        <w:t>egún datos del INEGI (2010) el 50.5% de la población hablante de lengua indígena de 15</w:t>
      </w:r>
      <w:r w:rsidR="00A358EB" w:rsidRPr="0084402E">
        <w:rPr>
          <w:rFonts w:ascii="Arial" w:eastAsiaTheme="minorEastAsia" w:hAnsi="Arial" w:cs="Arial"/>
          <w:sz w:val="24"/>
          <w:szCs w:val="24"/>
        </w:rPr>
        <w:t xml:space="preserve"> años y más, no ha concluido su </w:t>
      </w:r>
      <w:r w:rsidRPr="0084402E">
        <w:rPr>
          <w:rFonts w:ascii="Arial" w:eastAsiaTheme="minorEastAsia" w:hAnsi="Arial" w:cs="Arial"/>
          <w:sz w:val="24"/>
          <w:szCs w:val="24"/>
        </w:rPr>
        <w:t>educación primaria, cifra elevada que se ubica por</w:t>
      </w:r>
      <w:r w:rsidR="00A358EB" w:rsidRPr="0084402E">
        <w:rPr>
          <w:rFonts w:ascii="Arial" w:eastAsiaTheme="minorEastAsia" w:hAnsi="Arial" w:cs="Arial"/>
          <w:sz w:val="24"/>
          <w:szCs w:val="24"/>
        </w:rPr>
        <w:t xml:space="preserve"> </w:t>
      </w:r>
      <w:r w:rsidRPr="0084402E">
        <w:rPr>
          <w:rFonts w:ascii="Arial" w:eastAsiaTheme="minorEastAsia" w:hAnsi="Arial" w:cs="Arial"/>
          <w:sz w:val="24"/>
          <w:szCs w:val="24"/>
        </w:rPr>
        <w:t>encima de la media nacional.</w:t>
      </w:r>
      <w:r w:rsidR="00A358EB" w:rsidRPr="0084402E">
        <w:rPr>
          <w:rFonts w:ascii="Arial" w:eastAsiaTheme="minorEastAsia" w:hAnsi="Arial" w:cs="Arial"/>
          <w:sz w:val="24"/>
          <w:szCs w:val="24"/>
        </w:rPr>
        <w:t xml:space="preserve"> A nivel </w:t>
      </w:r>
      <w:r w:rsidRPr="0084402E">
        <w:rPr>
          <w:rFonts w:ascii="Arial" w:eastAsiaTheme="minorEastAsia" w:hAnsi="Arial" w:cs="Arial"/>
          <w:sz w:val="24"/>
          <w:szCs w:val="24"/>
        </w:rPr>
        <w:t>nacional, el índice de analfabetismo es de 6.9%; en el estado, asciende a 9.2%,</w:t>
      </w:r>
      <w:r w:rsidR="00A358EB" w:rsidRPr="0084402E">
        <w:rPr>
          <w:rFonts w:ascii="Arial" w:eastAsiaTheme="minorEastAsia" w:hAnsi="Arial" w:cs="Arial"/>
          <w:sz w:val="24"/>
          <w:szCs w:val="24"/>
        </w:rPr>
        <w:t xml:space="preserve"> siendo los </w:t>
      </w:r>
      <w:r w:rsidRPr="0084402E">
        <w:rPr>
          <w:rFonts w:ascii="Arial" w:eastAsiaTheme="minorEastAsia" w:hAnsi="Arial" w:cs="Arial"/>
          <w:sz w:val="24"/>
          <w:szCs w:val="24"/>
        </w:rPr>
        <w:t>municipios de Mayapán y Tahdziú los de mayor porcentaje con 28.7% y 28.0%</w:t>
      </w:r>
      <w:r w:rsidR="00A358EB" w:rsidRPr="0084402E">
        <w:rPr>
          <w:rFonts w:ascii="Arial" w:eastAsiaTheme="minorEastAsia" w:hAnsi="Arial" w:cs="Arial"/>
          <w:sz w:val="24"/>
          <w:szCs w:val="24"/>
        </w:rPr>
        <w:t xml:space="preserve"> </w:t>
      </w:r>
      <w:r w:rsidRPr="0084402E">
        <w:rPr>
          <w:rFonts w:ascii="Arial" w:eastAsiaTheme="minorEastAsia" w:hAnsi="Arial" w:cs="Arial"/>
          <w:sz w:val="24"/>
          <w:szCs w:val="24"/>
        </w:rPr>
        <w:t>respectivamente y Mérida con el menor (3.2%)</w:t>
      </w:r>
      <w:r w:rsidR="00A358EB" w:rsidRPr="0084402E">
        <w:rPr>
          <w:rFonts w:ascii="Arial" w:eastAsiaTheme="minorEastAsia" w:hAnsi="Arial" w:cs="Arial"/>
          <w:sz w:val="24"/>
          <w:szCs w:val="24"/>
        </w:rPr>
        <w:t>.</w:t>
      </w:r>
    </w:p>
    <w:p w14:paraId="77E97161" w14:textId="77777777" w:rsidR="00A358EB" w:rsidRPr="0084402E" w:rsidRDefault="00A358EB" w:rsidP="00A358EB">
      <w:pPr>
        <w:spacing w:after="0" w:line="360" w:lineRule="auto"/>
        <w:ind w:left="284"/>
        <w:jc w:val="both"/>
        <w:rPr>
          <w:rFonts w:ascii="Arial" w:eastAsiaTheme="minorEastAsia" w:hAnsi="Arial" w:cs="Arial"/>
          <w:sz w:val="24"/>
          <w:szCs w:val="24"/>
        </w:rPr>
      </w:pPr>
    </w:p>
    <w:p w14:paraId="51AF9A43" w14:textId="77777777" w:rsidR="00A358EB" w:rsidRPr="0084402E" w:rsidRDefault="00A358EB" w:rsidP="00A833BF">
      <w:pPr>
        <w:spacing w:after="0" w:line="360" w:lineRule="auto"/>
        <w:ind w:left="284"/>
        <w:jc w:val="both"/>
        <w:rPr>
          <w:rFonts w:ascii="Arial" w:eastAsiaTheme="minorEastAsia" w:hAnsi="Arial" w:cs="Arial"/>
          <w:sz w:val="24"/>
          <w:szCs w:val="24"/>
        </w:rPr>
      </w:pPr>
      <w:r w:rsidRPr="0084402E">
        <w:rPr>
          <w:rFonts w:ascii="Arial" w:eastAsiaTheme="minorEastAsia" w:hAnsi="Arial" w:cs="Arial"/>
          <w:sz w:val="24"/>
          <w:szCs w:val="24"/>
        </w:rPr>
        <w:t xml:space="preserve">El POA de la actividad programática del IEAEY “Atención a la población joven y adulta de 15 años en adelante” detalla </w:t>
      </w:r>
      <w:r w:rsidR="00A833BF" w:rsidRPr="0084402E">
        <w:rPr>
          <w:rFonts w:ascii="Arial" w:eastAsiaTheme="minorEastAsia" w:hAnsi="Arial" w:cs="Arial"/>
          <w:sz w:val="24"/>
          <w:szCs w:val="24"/>
        </w:rPr>
        <w:t xml:space="preserve">que </w:t>
      </w:r>
      <w:r w:rsidR="005D57EB" w:rsidRPr="0084402E">
        <w:rPr>
          <w:rFonts w:ascii="Arial" w:eastAsiaTheme="minorEastAsia" w:hAnsi="Arial" w:cs="Arial"/>
          <w:sz w:val="24"/>
          <w:szCs w:val="24"/>
        </w:rPr>
        <w:t>e</w:t>
      </w:r>
      <w:r w:rsidR="00A833BF" w:rsidRPr="0084402E">
        <w:rPr>
          <w:rFonts w:ascii="Arial" w:eastAsiaTheme="minorEastAsia" w:hAnsi="Arial" w:cs="Arial"/>
          <w:sz w:val="24"/>
          <w:szCs w:val="24"/>
        </w:rPr>
        <w:t>n el estado</w:t>
      </w:r>
      <w:r w:rsidR="005D57EB" w:rsidRPr="0084402E">
        <w:rPr>
          <w:rFonts w:ascii="Arial" w:eastAsiaTheme="minorEastAsia" w:hAnsi="Arial" w:cs="Arial"/>
          <w:sz w:val="24"/>
          <w:szCs w:val="24"/>
        </w:rPr>
        <w:t>,</w:t>
      </w:r>
      <w:r w:rsidR="00A833BF" w:rsidRPr="0084402E">
        <w:rPr>
          <w:rFonts w:ascii="Arial" w:eastAsiaTheme="minorEastAsia" w:hAnsi="Arial" w:cs="Arial"/>
          <w:sz w:val="24"/>
          <w:szCs w:val="24"/>
        </w:rPr>
        <w:t xml:space="preserve"> de acuerdo con datos del último censo del INEGI de 2010, la población de 15 años y más es de un millón 408 mil 61 personas, de los cuales 130 mil seis son analfabetas, siendo 53 mil 338 hombres y 76 mil 668 mujeres; </w:t>
      </w:r>
      <w:r w:rsidR="00A833BF" w:rsidRPr="0084402E">
        <w:rPr>
          <w:rFonts w:ascii="Arial" w:eastAsiaTheme="minorEastAsia" w:hAnsi="Arial" w:cs="Arial"/>
          <w:sz w:val="24"/>
          <w:szCs w:val="24"/>
        </w:rPr>
        <w:lastRenderedPageBreak/>
        <w:t>224 mil 691 personas no han terminado su primaria (110 mil 387 hombres y 114 mil 304 mujeres); 269 mil 29 personas no han concluido la secundaria (128 mil 43 hombres y 140,986 mujeres), haciendo un total de 623 mil 726 personas en condición de rezago educativo, lo que representa el 44.3 % de la población de 15 años o más”.</w:t>
      </w:r>
    </w:p>
    <w:tbl>
      <w:tblPr>
        <w:tblW w:w="6540" w:type="dxa"/>
        <w:jc w:val="center"/>
        <w:tblCellMar>
          <w:left w:w="70" w:type="dxa"/>
          <w:right w:w="70" w:type="dxa"/>
        </w:tblCellMar>
        <w:tblLook w:val="04A0" w:firstRow="1" w:lastRow="0" w:firstColumn="1" w:lastColumn="0" w:noHBand="0" w:noVBand="1"/>
      </w:tblPr>
      <w:tblGrid>
        <w:gridCol w:w="3008"/>
        <w:gridCol w:w="1367"/>
        <w:gridCol w:w="1301"/>
        <w:gridCol w:w="1008"/>
      </w:tblGrid>
      <w:tr w:rsidR="00A833BF" w:rsidRPr="0084402E" w14:paraId="061EF0C4" w14:textId="77777777" w:rsidTr="00A833BF">
        <w:trPr>
          <w:trHeight w:val="615"/>
          <w:jc w:val="center"/>
        </w:trPr>
        <w:tc>
          <w:tcPr>
            <w:tcW w:w="6540" w:type="dxa"/>
            <w:gridSpan w:val="4"/>
            <w:tcBorders>
              <w:top w:val="single" w:sz="4" w:space="0" w:color="auto"/>
              <w:left w:val="single" w:sz="4" w:space="0" w:color="auto"/>
              <w:bottom w:val="single" w:sz="4" w:space="0" w:color="auto"/>
              <w:right w:val="single" w:sz="4" w:space="0" w:color="auto"/>
            </w:tcBorders>
            <w:shd w:val="clear" w:color="000000" w:fill="A5A5A5"/>
            <w:vAlign w:val="bottom"/>
            <w:hideMark/>
          </w:tcPr>
          <w:p w14:paraId="58BDD847" w14:textId="77777777" w:rsidR="00A833BF" w:rsidRPr="0084402E" w:rsidRDefault="00A833BF" w:rsidP="00A833BF">
            <w:pPr>
              <w:spacing w:after="0" w:line="240" w:lineRule="auto"/>
              <w:jc w:val="center"/>
              <w:rPr>
                <w:rFonts w:ascii="Arial" w:eastAsia="Times New Roman" w:hAnsi="Arial" w:cs="Arial"/>
                <w:b/>
                <w:bCs/>
                <w:i/>
                <w:color w:val="FFFFFF"/>
                <w:sz w:val="24"/>
                <w:szCs w:val="24"/>
                <w:lang w:eastAsia="es-MX"/>
              </w:rPr>
            </w:pPr>
            <w:r w:rsidRPr="0084402E">
              <w:rPr>
                <w:rFonts w:ascii="Arial" w:eastAsia="Times New Roman" w:hAnsi="Arial" w:cs="Arial"/>
                <w:b/>
                <w:bCs/>
                <w:i/>
                <w:color w:val="FFFFFF"/>
                <w:sz w:val="24"/>
                <w:szCs w:val="24"/>
                <w:lang w:eastAsia="es-MX"/>
              </w:rPr>
              <w:t>Tabla No. 3: Población en Rezago Educativo (Población Potencial) en el estado de Yucatán</w:t>
            </w:r>
          </w:p>
        </w:tc>
      </w:tr>
      <w:tr w:rsidR="00A833BF" w:rsidRPr="0084402E" w14:paraId="789036EE" w14:textId="77777777" w:rsidTr="00A833BF">
        <w:trPr>
          <w:trHeight w:val="300"/>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6C0741ED" w14:textId="77777777" w:rsidR="00A833BF" w:rsidRPr="0084402E" w:rsidRDefault="00A833BF" w:rsidP="00A833BF">
            <w:pPr>
              <w:spacing w:after="0" w:line="240" w:lineRule="auto"/>
              <w:rPr>
                <w:rFonts w:ascii="Arial" w:eastAsia="Times New Roman" w:hAnsi="Arial" w:cs="Arial"/>
                <w:b/>
                <w:bCs/>
                <w:color w:val="000000"/>
                <w:sz w:val="24"/>
                <w:szCs w:val="24"/>
                <w:lang w:eastAsia="es-MX"/>
              </w:rPr>
            </w:pPr>
            <w:r w:rsidRPr="0084402E">
              <w:rPr>
                <w:rFonts w:ascii="Arial" w:eastAsia="Times New Roman" w:hAnsi="Arial" w:cs="Arial"/>
                <w:b/>
                <w:bCs/>
                <w:color w:val="000000"/>
                <w:sz w:val="24"/>
                <w:szCs w:val="24"/>
                <w:lang w:eastAsia="es-MX"/>
              </w:rPr>
              <w:t>Condición de Rezago</w:t>
            </w:r>
          </w:p>
        </w:tc>
        <w:tc>
          <w:tcPr>
            <w:tcW w:w="1330" w:type="dxa"/>
            <w:tcBorders>
              <w:top w:val="nil"/>
              <w:left w:val="nil"/>
              <w:bottom w:val="single" w:sz="4" w:space="0" w:color="auto"/>
              <w:right w:val="single" w:sz="4" w:space="0" w:color="auto"/>
            </w:tcBorders>
            <w:shd w:val="clear" w:color="auto" w:fill="auto"/>
            <w:noWrap/>
            <w:vAlign w:val="bottom"/>
            <w:hideMark/>
          </w:tcPr>
          <w:p w14:paraId="6D79202C" w14:textId="77777777" w:rsidR="00A833BF" w:rsidRPr="0084402E" w:rsidRDefault="00A833BF" w:rsidP="00A833BF">
            <w:pPr>
              <w:spacing w:after="0" w:line="240" w:lineRule="auto"/>
              <w:jc w:val="center"/>
              <w:rPr>
                <w:rFonts w:ascii="Arial" w:eastAsia="Times New Roman" w:hAnsi="Arial" w:cs="Arial"/>
                <w:b/>
                <w:bCs/>
                <w:color w:val="000000"/>
                <w:sz w:val="24"/>
                <w:szCs w:val="24"/>
                <w:lang w:eastAsia="es-MX"/>
              </w:rPr>
            </w:pPr>
            <w:r w:rsidRPr="0084402E">
              <w:rPr>
                <w:rFonts w:ascii="Arial" w:eastAsia="Times New Roman" w:hAnsi="Arial" w:cs="Arial"/>
                <w:b/>
                <w:bCs/>
                <w:color w:val="000000"/>
                <w:sz w:val="24"/>
                <w:szCs w:val="24"/>
                <w:lang w:eastAsia="es-MX"/>
              </w:rPr>
              <w:t>HOMBRES</w:t>
            </w:r>
          </w:p>
        </w:tc>
        <w:tc>
          <w:tcPr>
            <w:tcW w:w="1258" w:type="dxa"/>
            <w:tcBorders>
              <w:top w:val="nil"/>
              <w:left w:val="nil"/>
              <w:bottom w:val="single" w:sz="4" w:space="0" w:color="auto"/>
              <w:right w:val="single" w:sz="4" w:space="0" w:color="auto"/>
            </w:tcBorders>
            <w:shd w:val="clear" w:color="auto" w:fill="auto"/>
            <w:noWrap/>
            <w:vAlign w:val="bottom"/>
            <w:hideMark/>
          </w:tcPr>
          <w:p w14:paraId="5AD43A95" w14:textId="77777777" w:rsidR="00A833BF" w:rsidRPr="0084402E" w:rsidRDefault="00A833BF" w:rsidP="00A833BF">
            <w:pPr>
              <w:spacing w:after="0" w:line="240" w:lineRule="auto"/>
              <w:jc w:val="center"/>
              <w:rPr>
                <w:rFonts w:ascii="Arial" w:eastAsia="Times New Roman" w:hAnsi="Arial" w:cs="Arial"/>
                <w:b/>
                <w:bCs/>
                <w:color w:val="000000"/>
                <w:sz w:val="24"/>
                <w:szCs w:val="24"/>
                <w:lang w:eastAsia="es-MX"/>
              </w:rPr>
            </w:pPr>
            <w:r w:rsidRPr="0084402E">
              <w:rPr>
                <w:rFonts w:ascii="Arial" w:eastAsia="Times New Roman" w:hAnsi="Arial" w:cs="Arial"/>
                <w:b/>
                <w:bCs/>
                <w:color w:val="000000"/>
                <w:sz w:val="24"/>
                <w:szCs w:val="24"/>
                <w:lang w:eastAsia="es-MX"/>
              </w:rPr>
              <w:t>MUJERES</w:t>
            </w:r>
          </w:p>
        </w:tc>
        <w:tc>
          <w:tcPr>
            <w:tcW w:w="944" w:type="dxa"/>
            <w:tcBorders>
              <w:top w:val="nil"/>
              <w:left w:val="nil"/>
              <w:bottom w:val="single" w:sz="4" w:space="0" w:color="auto"/>
              <w:right w:val="single" w:sz="4" w:space="0" w:color="auto"/>
            </w:tcBorders>
            <w:shd w:val="clear" w:color="auto" w:fill="auto"/>
            <w:noWrap/>
            <w:vAlign w:val="bottom"/>
            <w:hideMark/>
          </w:tcPr>
          <w:p w14:paraId="1AD8570C" w14:textId="77777777" w:rsidR="00A833BF" w:rsidRPr="0084402E" w:rsidRDefault="00A833BF" w:rsidP="00A833BF">
            <w:pPr>
              <w:spacing w:after="0" w:line="240" w:lineRule="auto"/>
              <w:jc w:val="center"/>
              <w:rPr>
                <w:rFonts w:ascii="Arial" w:eastAsia="Times New Roman" w:hAnsi="Arial" w:cs="Arial"/>
                <w:b/>
                <w:bCs/>
                <w:color w:val="000000"/>
                <w:sz w:val="24"/>
                <w:szCs w:val="24"/>
                <w:lang w:eastAsia="es-MX"/>
              </w:rPr>
            </w:pPr>
            <w:r w:rsidRPr="0084402E">
              <w:rPr>
                <w:rFonts w:ascii="Arial" w:eastAsia="Times New Roman" w:hAnsi="Arial" w:cs="Arial"/>
                <w:b/>
                <w:bCs/>
                <w:color w:val="000000"/>
                <w:sz w:val="24"/>
                <w:szCs w:val="24"/>
                <w:lang w:eastAsia="es-MX"/>
              </w:rPr>
              <w:t>TOTAL</w:t>
            </w:r>
          </w:p>
        </w:tc>
      </w:tr>
      <w:tr w:rsidR="00A833BF" w:rsidRPr="0084402E" w14:paraId="7306473D" w14:textId="77777777" w:rsidTr="00A833BF">
        <w:trPr>
          <w:trHeight w:val="300"/>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4F9844EB" w14:textId="77777777" w:rsidR="00A833BF" w:rsidRPr="0084402E" w:rsidRDefault="00A833BF" w:rsidP="00A833BF">
            <w:pPr>
              <w:spacing w:after="0" w:line="240" w:lineRule="auto"/>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Analfabetas</w:t>
            </w:r>
          </w:p>
        </w:tc>
        <w:tc>
          <w:tcPr>
            <w:tcW w:w="1330" w:type="dxa"/>
            <w:tcBorders>
              <w:top w:val="nil"/>
              <w:left w:val="nil"/>
              <w:bottom w:val="single" w:sz="4" w:space="0" w:color="auto"/>
              <w:right w:val="single" w:sz="4" w:space="0" w:color="auto"/>
            </w:tcBorders>
            <w:shd w:val="clear" w:color="auto" w:fill="auto"/>
            <w:noWrap/>
            <w:vAlign w:val="bottom"/>
            <w:hideMark/>
          </w:tcPr>
          <w:p w14:paraId="1F98B9F9" w14:textId="77777777" w:rsidR="00A833BF" w:rsidRPr="0084402E" w:rsidRDefault="00A833BF" w:rsidP="00A833BF">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53,338</w:t>
            </w:r>
          </w:p>
        </w:tc>
        <w:tc>
          <w:tcPr>
            <w:tcW w:w="1258" w:type="dxa"/>
            <w:tcBorders>
              <w:top w:val="nil"/>
              <w:left w:val="nil"/>
              <w:bottom w:val="single" w:sz="4" w:space="0" w:color="auto"/>
              <w:right w:val="single" w:sz="4" w:space="0" w:color="auto"/>
            </w:tcBorders>
            <w:shd w:val="clear" w:color="auto" w:fill="auto"/>
            <w:noWrap/>
            <w:vAlign w:val="bottom"/>
            <w:hideMark/>
          </w:tcPr>
          <w:p w14:paraId="41234DB0" w14:textId="77777777" w:rsidR="00A833BF" w:rsidRPr="0084402E" w:rsidRDefault="00A833BF" w:rsidP="00A833BF">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76,668</w:t>
            </w:r>
          </w:p>
        </w:tc>
        <w:tc>
          <w:tcPr>
            <w:tcW w:w="944" w:type="dxa"/>
            <w:tcBorders>
              <w:top w:val="nil"/>
              <w:left w:val="nil"/>
              <w:bottom w:val="single" w:sz="4" w:space="0" w:color="auto"/>
              <w:right w:val="single" w:sz="4" w:space="0" w:color="auto"/>
            </w:tcBorders>
            <w:shd w:val="clear" w:color="auto" w:fill="auto"/>
            <w:noWrap/>
            <w:vAlign w:val="bottom"/>
            <w:hideMark/>
          </w:tcPr>
          <w:p w14:paraId="026836AD" w14:textId="77777777" w:rsidR="00A833BF" w:rsidRPr="0084402E" w:rsidRDefault="00A833BF" w:rsidP="00A833BF">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130,006</w:t>
            </w:r>
          </w:p>
        </w:tc>
      </w:tr>
      <w:tr w:rsidR="00A833BF" w:rsidRPr="0084402E" w14:paraId="7B5FE3F5" w14:textId="77777777" w:rsidTr="00A833BF">
        <w:trPr>
          <w:trHeight w:val="300"/>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52E7D870" w14:textId="77777777" w:rsidR="00A833BF" w:rsidRPr="0084402E" w:rsidRDefault="00A833BF" w:rsidP="00A833BF">
            <w:pPr>
              <w:spacing w:after="0" w:line="240" w:lineRule="auto"/>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Sin primaria terminada</w:t>
            </w:r>
          </w:p>
        </w:tc>
        <w:tc>
          <w:tcPr>
            <w:tcW w:w="1330" w:type="dxa"/>
            <w:tcBorders>
              <w:top w:val="nil"/>
              <w:left w:val="nil"/>
              <w:bottom w:val="single" w:sz="4" w:space="0" w:color="auto"/>
              <w:right w:val="single" w:sz="4" w:space="0" w:color="auto"/>
            </w:tcBorders>
            <w:shd w:val="clear" w:color="auto" w:fill="auto"/>
            <w:noWrap/>
            <w:vAlign w:val="bottom"/>
            <w:hideMark/>
          </w:tcPr>
          <w:p w14:paraId="23671309" w14:textId="77777777" w:rsidR="00A833BF" w:rsidRPr="0084402E" w:rsidRDefault="00A833BF" w:rsidP="00A833BF">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110,387</w:t>
            </w:r>
          </w:p>
        </w:tc>
        <w:tc>
          <w:tcPr>
            <w:tcW w:w="1258" w:type="dxa"/>
            <w:tcBorders>
              <w:top w:val="nil"/>
              <w:left w:val="nil"/>
              <w:bottom w:val="single" w:sz="4" w:space="0" w:color="auto"/>
              <w:right w:val="single" w:sz="4" w:space="0" w:color="auto"/>
            </w:tcBorders>
            <w:shd w:val="clear" w:color="auto" w:fill="auto"/>
            <w:noWrap/>
            <w:vAlign w:val="bottom"/>
            <w:hideMark/>
          </w:tcPr>
          <w:p w14:paraId="44520BA6" w14:textId="77777777" w:rsidR="00A833BF" w:rsidRPr="0084402E" w:rsidRDefault="00A833BF" w:rsidP="00A833BF">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114,304</w:t>
            </w:r>
          </w:p>
        </w:tc>
        <w:tc>
          <w:tcPr>
            <w:tcW w:w="944" w:type="dxa"/>
            <w:tcBorders>
              <w:top w:val="nil"/>
              <w:left w:val="nil"/>
              <w:bottom w:val="single" w:sz="4" w:space="0" w:color="auto"/>
              <w:right w:val="single" w:sz="4" w:space="0" w:color="auto"/>
            </w:tcBorders>
            <w:shd w:val="clear" w:color="auto" w:fill="auto"/>
            <w:noWrap/>
            <w:vAlign w:val="bottom"/>
            <w:hideMark/>
          </w:tcPr>
          <w:p w14:paraId="1A95AECE" w14:textId="77777777" w:rsidR="00A833BF" w:rsidRPr="0084402E" w:rsidRDefault="00A833BF" w:rsidP="00A833BF">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224,691</w:t>
            </w:r>
          </w:p>
        </w:tc>
      </w:tr>
      <w:tr w:rsidR="00A833BF" w:rsidRPr="0084402E" w14:paraId="4135E7BF" w14:textId="77777777" w:rsidTr="00A833BF">
        <w:trPr>
          <w:trHeight w:val="300"/>
          <w:jc w:val="center"/>
        </w:trPr>
        <w:tc>
          <w:tcPr>
            <w:tcW w:w="3008" w:type="dxa"/>
            <w:tcBorders>
              <w:top w:val="nil"/>
              <w:left w:val="single" w:sz="4" w:space="0" w:color="auto"/>
              <w:bottom w:val="single" w:sz="4" w:space="0" w:color="auto"/>
              <w:right w:val="single" w:sz="4" w:space="0" w:color="auto"/>
            </w:tcBorders>
            <w:shd w:val="clear" w:color="auto" w:fill="auto"/>
            <w:noWrap/>
            <w:vAlign w:val="bottom"/>
            <w:hideMark/>
          </w:tcPr>
          <w:p w14:paraId="28B92704" w14:textId="77777777" w:rsidR="00A833BF" w:rsidRPr="0084402E" w:rsidRDefault="00A833BF" w:rsidP="00A833BF">
            <w:pPr>
              <w:spacing w:after="0" w:line="240" w:lineRule="auto"/>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Sin secundaria terminada</w:t>
            </w:r>
          </w:p>
        </w:tc>
        <w:tc>
          <w:tcPr>
            <w:tcW w:w="1330" w:type="dxa"/>
            <w:tcBorders>
              <w:top w:val="nil"/>
              <w:left w:val="nil"/>
              <w:bottom w:val="single" w:sz="4" w:space="0" w:color="auto"/>
              <w:right w:val="single" w:sz="4" w:space="0" w:color="auto"/>
            </w:tcBorders>
            <w:shd w:val="clear" w:color="auto" w:fill="auto"/>
            <w:noWrap/>
            <w:vAlign w:val="bottom"/>
            <w:hideMark/>
          </w:tcPr>
          <w:p w14:paraId="621A856A" w14:textId="77777777" w:rsidR="00A833BF" w:rsidRPr="0084402E" w:rsidRDefault="00A833BF" w:rsidP="00A833BF">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128,043</w:t>
            </w:r>
          </w:p>
        </w:tc>
        <w:tc>
          <w:tcPr>
            <w:tcW w:w="1258" w:type="dxa"/>
            <w:tcBorders>
              <w:top w:val="nil"/>
              <w:left w:val="nil"/>
              <w:bottom w:val="single" w:sz="4" w:space="0" w:color="auto"/>
              <w:right w:val="single" w:sz="4" w:space="0" w:color="auto"/>
            </w:tcBorders>
            <w:shd w:val="clear" w:color="auto" w:fill="auto"/>
            <w:noWrap/>
            <w:vAlign w:val="bottom"/>
            <w:hideMark/>
          </w:tcPr>
          <w:p w14:paraId="2E7D1FDB" w14:textId="77777777" w:rsidR="00A833BF" w:rsidRPr="0084402E" w:rsidRDefault="00A833BF" w:rsidP="00A833BF">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140,986</w:t>
            </w:r>
          </w:p>
        </w:tc>
        <w:tc>
          <w:tcPr>
            <w:tcW w:w="944" w:type="dxa"/>
            <w:tcBorders>
              <w:top w:val="nil"/>
              <w:left w:val="nil"/>
              <w:bottom w:val="single" w:sz="4" w:space="0" w:color="auto"/>
              <w:right w:val="single" w:sz="4" w:space="0" w:color="auto"/>
            </w:tcBorders>
            <w:shd w:val="clear" w:color="auto" w:fill="auto"/>
            <w:noWrap/>
            <w:vAlign w:val="bottom"/>
            <w:hideMark/>
          </w:tcPr>
          <w:p w14:paraId="113BE110" w14:textId="77777777" w:rsidR="00A833BF" w:rsidRPr="0084402E" w:rsidRDefault="00A833BF" w:rsidP="00A833BF">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269,029</w:t>
            </w:r>
          </w:p>
        </w:tc>
      </w:tr>
      <w:tr w:rsidR="00A833BF" w:rsidRPr="0084402E" w14:paraId="1AF37496" w14:textId="77777777" w:rsidTr="00A833BF">
        <w:trPr>
          <w:trHeight w:val="300"/>
          <w:jc w:val="center"/>
        </w:trPr>
        <w:tc>
          <w:tcPr>
            <w:tcW w:w="3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8686C" w14:textId="77777777" w:rsidR="00A833BF" w:rsidRPr="0084402E" w:rsidRDefault="00A833BF" w:rsidP="00A833BF">
            <w:pPr>
              <w:spacing w:after="0" w:line="240" w:lineRule="auto"/>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Total Población en rezago</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799ACF7F" w14:textId="77777777" w:rsidR="00A833BF" w:rsidRPr="0084402E" w:rsidRDefault="00A833BF" w:rsidP="00A833BF">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291,768</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14:paraId="43173A4A" w14:textId="77777777" w:rsidR="00A833BF" w:rsidRPr="0084402E" w:rsidRDefault="00A833BF" w:rsidP="00A833BF">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331,958</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6D240C29" w14:textId="77777777" w:rsidR="00A833BF" w:rsidRPr="0084402E" w:rsidRDefault="00A833BF" w:rsidP="00A833BF">
            <w:pPr>
              <w:spacing w:after="0" w:line="240" w:lineRule="auto"/>
              <w:jc w:val="right"/>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623,726</w:t>
            </w:r>
          </w:p>
        </w:tc>
      </w:tr>
      <w:tr w:rsidR="00A833BF" w:rsidRPr="005F4771" w14:paraId="240C4AC4" w14:textId="77777777" w:rsidTr="00A833BF">
        <w:trPr>
          <w:trHeight w:val="855"/>
          <w:jc w:val="center"/>
        </w:trPr>
        <w:tc>
          <w:tcPr>
            <w:tcW w:w="6540" w:type="dxa"/>
            <w:gridSpan w:val="4"/>
            <w:tcBorders>
              <w:top w:val="single" w:sz="4" w:space="0" w:color="auto"/>
              <w:bottom w:val="nil"/>
              <w:right w:val="nil"/>
            </w:tcBorders>
            <w:shd w:val="clear" w:color="auto" w:fill="auto"/>
            <w:vAlign w:val="bottom"/>
            <w:hideMark/>
          </w:tcPr>
          <w:p w14:paraId="08CC635B" w14:textId="77777777" w:rsidR="00A833BF" w:rsidRPr="005F4771" w:rsidRDefault="00A833BF" w:rsidP="00A833BF">
            <w:pPr>
              <w:spacing w:after="0" w:line="240" w:lineRule="auto"/>
              <w:rPr>
                <w:rFonts w:ascii="Arial" w:eastAsia="Times New Roman" w:hAnsi="Arial" w:cs="Arial"/>
                <w:b/>
                <w:color w:val="000000"/>
                <w:sz w:val="20"/>
                <w:szCs w:val="24"/>
                <w:lang w:eastAsia="es-MX"/>
              </w:rPr>
            </w:pPr>
            <w:r w:rsidRPr="005F4771">
              <w:rPr>
                <w:rFonts w:ascii="Arial" w:eastAsia="Times New Roman" w:hAnsi="Arial" w:cs="Arial"/>
                <w:b/>
                <w:color w:val="000000"/>
                <w:sz w:val="20"/>
                <w:szCs w:val="24"/>
                <w:lang w:eastAsia="es-MX"/>
              </w:rPr>
              <w:t>Fuente: INDETEC con información del  POA de la Actividad Programática "Atención a la población joven y adulta de 15 en adelante a través del IEAEY, que presenta datos del Censo 2010 del INEGI</w:t>
            </w:r>
          </w:p>
        </w:tc>
      </w:tr>
    </w:tbl>
    <w:p w14:paraId="069CF73B" w14:textId="77777777" w:rsidR="00A833BF" w:rsidRPr="0084402E" w:rsidRDefault="00A833BF" w:rsidP="00A833BF">
      <w:pPr>
        <w:spacing w:after="0" w:line="360" w:lineRule="auto"/>
        <w:ind w:left="284"/>
        <w:jc w:val="both"/>
        <w:rPr>
          <w:rFonts w:ascii="Arial" w:eastAsiaTheme="minorEastAsia" w:hAnsi="Arial" w:cs="Arial"/>
          <w:sz w:val="24"/>
          <w:szCs w:val="24"/>
        </w:rPr>
      </w:pPr>
    </w:p>
    <w:p w14:paraId="4EC5447C" w14:textId="77777777" w:rsidR="00A833BF" w:rsidRPr="0084402E" w:rsidRDefault="00A833BF" w:rsidP="00A833BF">
      <w:pPr>
        <w:spacing w:after="0" w:line="360" w:lineRule="auto"/>
        <w:ind w:left="284"/>
        <w:jc w:val="center"/>
        <w:rPr>
          <w:rFonts w:ascii="Arial" w:eastAsiaTheme="minorEastAsia" w:hAnsi="Arial" w:cs="Arial"/>
          <w:sz w:val="24"/>
          <w:szCs w:val="24"/>
        </w:rPr>
      </w:pPr>
      <w:r w:rsidRPr="0084402E">
        <w:rPr>
          <w:rFonts w:ascii="Arial" w:eastAsiaTheme="minorEastAsia" w:hAnsi="Arial" w:cs="Arial"/>
          <w:noProof/>
          <w:sz w:val="24"/>
          <w:szCs w:val="24"/>
          <w:lang w:val="es-ES_tradnl" w:eastAsia="es-ES_tradnl"/>
        </w:rPr>
        <w:drawing>
          <wp:inline distT="0" distB="0" distL="0" distR="0" wp14:anchorId="5E7FBF27" wp14:editId="65D535AC">
            <wp:extent cx="4572000" cy="2743200"/>
            <wp:effectExtent l="19050" t="0" r="190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E12FC7" w14:textId="77777777" w:rsidR="00A833BF" w:rsidRPr="005F4771" w:rsidRDefault="00131E27" w:rsidP="00A833BF">
      <w:pPr>
        <w:spacing w:after="0" w:line="360" w:lineRule="auto"/>
        <w:ind w:left="284"/>
        <w:jc w:val="both"/>
        <w:rPr>
          <w:rFonts w:ascii="Arial" w:eastAsia="Times New Roman" w:hAnsi="Arial" w:cs="Arial"/>
          <w:color w:val="000000"/>
          <w:sz w:val="20"/>
          <w:szCs w:val="24"/>
          <w:lang w:eastAsia="es-MX"/>
        </w:rPr>
      </w:pPr>
      <w:r w:rsidRPr="005F4771">
        <w:rPr>
          <w:rFonts w:ascii="Arial" w:eastAsiaTheme="minorEastAsia" w:hAnsi="Arial" w:cs="Arial"/>
          <w:noProof/>
          <w:sz w:val="20"/>
          <w:szCs w:val="24"/>
          <w:lang w:val="es-ES_tradnl" w:eastAsia="es-ES_tradnl"/>
        </w:rPr>
        <mc:AlternateContent>
          <mc:Choice Requires="wps">
            <w:drawing>
              <wp:anchor distT="0" distB="0" distL="114300" distR="114300" simplePos="0" relativeHeight="251658752" behindDoc="0" locked="0" layoutInCell="1" allowOverlap="1" wp14:anchorId="3F790703" wp14:editId="210EDDC7">
                <wp:simplePos x="0" y="0"/>
                <wp:positionH relativeFrom="column">
                  <wp:align>center</wp:align>
                </wp:positionH>
                <wp:positionV relativeFrom="paragraph">
                  <wp:posOffset>0</wp:posOffset>
                </wp:positionV>
                <wp:extent cx="4578985" cy="572770"/>
                <wp:effectExtent l="3810" t="381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985" cy="572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914AF" w14:textId="268C9867" w:rsidR="001549BC" w:rsidRPr="005F4771" w:rsidRDefault="001549BC" w:rsidP="005F4771">
                            <w:pPr>
                              <w:jc w:val="both"/>
                              <w:rPr>
                                <w:b/>
                                <w:sz w:val="20"/>
                                <w:szCs w:val="20"/>
                                <w:lang w:val="es-ES"/>
                              </w:rPr>
                            </w:pPr>
                            <w:r w:rsidRPr="005F4771">
                              <w:rPr>
                                <w:rFonts w:ascii="Arial" w:eastAsiaTheme="minorEastAsia" w:hAnsi="Arial" w:cs="Arial"/>
                                <w:b/>
                                <w:sz w:val="20"/>
                                <w:szCs w:val="20"/>
                              </w:rPr>
                              <w:t xml:space="preserve">Elaborado por INDETEC con base en la Tabla No. 3: información </w:t>
                            </w:r>
                            <w:r w:rsidRPr="005F4771">
                              <w:rPr>
                                <w:rFonts w:ascii="Arial" w:eastAsia="Times New Roman" w:hAnsi="Arial" w:cs="Arial"/>
                                <w:b/>
                                <w:color w:val="000000"/>
                                <w:sz w:val="20"/>
                                <w:szCs w:val="20"/>
                                <w:lang w:eastAsia="es-MX"/>
                              </w:rPr>
                              <w:t>del  POA de la Actividad Programática "Atención a la población joven y adulta de 15 en adelante a través del IEAEY, que presenta datos del Censo 2010 del INEGI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790703" id="_x0000_t202" coordsize="21600,21600" o:spt="202" path="m0,0l0,21600,21600,21600,21600,0xe">
                <v:stroke joinstyle="miter"/>
                <v:path gradientshapeok="t" o:connecttype="rect"/>
              </v:shapetype>
              <v:shape id="Text_x0020_Box_x0020_3" o:spid="_x0000_s1027" type="#_x0000_t202" style="position:absolute;left:0;text-align:left;margin-left:0;margin-top:0;width:360.55pt;height:45.1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" stroked="f">
                <v:textbox>
                  <w:txbxContent>
                    <w:p w14:paraId="514914AF" w14:textId="268C9867" w:rsidR="001549BC" w:rsidRPr="005F4771" w:rsidRDefault="001549BC" w:rsidP="005F4771">
                      <w:pPr>
                        <w:jc w:val="both"/>
                        <w:rPr>
                          <w:b/>
                          <w:sz w:val="20"/>
                          <w:szCs w:val="20"/>
                          <w:lang w:val="es-ES"/>
                        </w:rPr>
                      </w:pPr>
                      <w:r w:rsidRPr="005F4771">
                        <w:rPr>
                          <w:rFonts w:ascii="Arial" w:eastAsiaTheme="minorEastAsia" w:hAnsi="Arial" w:cs="Arial"/>
                          <w:b/>
                          <w:sz w:val="20"/>
                          <w:szCs w:val="20"/>
                        </w:rPr>
                        <w:t xml:space="preserve">Elaborado por INDETEC con base en la Tabla No. 3: información </w:t>
                      </w:r>
                      <w:r w:rsidRPr="005F4771">
                        <w:rPr>
                          <w:rFonts w:ascii="Arial" w:eastAsia="Times New Roman" w:hAnsi="Arial" w:cs="Arial"/>
                          <w:b/>
                          <w:color w:val="000000"/>
                          <w:sz w:val="20"/>
                          <w:szCs w:val="20"/>
                          <w:lang w:eastAsia="es-MX"/>
                        </w:rPr>
                        <w:t>del  POA de la Actividad Programática "Atención a la población joven y adulta de 15 en adelante a través del IEAEY, que presenta datos del Censo 2010 del INEGI</w:t>
                      </w:r>
                    </w:p>
                  </w:txbxContent>
                </v:textbox>
              </v:shape>
            </w:pict>
          </mc:Fallback>
        </mc:AlternateContent>
      </w:r>
      <w:r w:rsidR="00CB73B0" w:rsidRPr="005F4771">
        <w:rPr>
          <w:rFonts w:ascii="Arial" w:eastAsiaTheme="minorEastAsia" w:hAnsi="Arial" w:cs="Arial"/>
          <w:sz w:val="20"/>
          <w:szCs w:val="24"/>
        </w:rPr>
        <w:tab/>
      </w:r>
      <w:r w:rsidR="00CB73B0" w:rsidRPr="005F4771">
        <w:rPr>
          <w:rFonts w:ascii="Arial" w:eastAsiaTheme="minorEastAsia" w:hAnsi="Arial" w:cs="Arial"/>
          <w:sz w:val="20"/>
          <w:szCs w:val="24"/>
        </w:rPr>
        <w:tab/>
      </w:r>
    </w:p>
    <w:p w14:paraId="59F299E4" w14:textId="77777777" w:rsidR="00CB73B0" w:rsidRPr="0084402E" w:rsidRDefault="00CB73B0" w:rsidP="00A833BF">
      <w:pPr>
        <w:spacing w:after="0" w:line="360" w:lineRule="auto"/>
        <w:ind w:left="284"/>
        <w:jc w:val="both"/>
        <w:rPr>
          <w:rFonts w:ascii="Arial" w:eastAsiaTheme="minorEastAsia" w:hAnsi="Arial" w:cs="Arial"/>
          <w:sz w:val="24"/>
          <w:szCs w:val="24"/>
        </w:rPr>
      </w:pPr>
    </w:p>
    <w:p w14:paraId="4B06AD4D" w14:textId="77777777" w:rsidR="00CB73B0" w:rsidRPr="0084402E" w:rsidRDefault="00CB73B0" w:rsidP="00A833BF">
      <w:pPr>
        <w:spacing w:after="0" w:line="360" w:lineRule="auto"/>
        <w:ind w:left="284"/>
        <w:jc w:val="both"/>
        <w:rPr>
          <w:rFonts w:ascii="Arial" w:eastAsiaTheme="minorEastAsia" w:hAnsi="Arial" w:cs="Arial"/>
          <w:sz w:val="24"/>
          <w:szCs w:val="24"/>
        </w:rPr>
      </w:pPr>
    </w:p>
    <w:p w14:paraId="5A33305F" w14:textId="77777777" w:rsidR="00CB73B0" w:rsidRPr="0084402E" w:rsidRDefault="00CB73B0" w:rsidP="00CB73B0">
      <w:pPr>
        <w:spacing w:after="0" w:line="360" w:lineRule="auto"/>
        <w:jc w:val="both"/>
        <w:rPr>
          <w:rFonts w:ascii="Arial" w:eastAsiaTheme="minorEastAsia" w:hAnsi="Arial" w:cs="Arial"/>
          <w:sz w:val="24"/>
          <w:szCs w:val="24"/>
        </w:rPr>
      </w:pPr>
    </w:p>
    <w:p w14:paraId="78D39EB3" w14:textId="0DDEEEFC" w:rsidR="00A833BF" w:rsidRPr="0084402E" w:rsidRDefault="004D7A34" w:rsidP="00662AA3">
      <w:pPr>
        <w:spacing w:after="0" w:line="360" w:lineRule="auto"/>
        <w:ind w:left="284"/>
        <w:jc w:val="both"/>
        <w:rPr>
          <w:rFonts w:ascii="Arial" w:eastAsiaTheme="minorEastAsia" w:hAnsi="Arial" w:cs="Arial"/>
          <w:sz w:val="24"/>
          <w:szCs w:val="24"/>
        </w:rPr>
      </w:pPr>
      <w:r w:rsidRPr="0084402E">
        <w:rPr>
          <w:rFonts w:ascii="Arial" w:eastAsiaTheme="minorEastAsia" w:hAnsi="Arial" w:cs="Arial"/>
          <w:sz w:val="24"/>
          <w:szCs w:val="24"/>
        </w:rPr>
        <w:t>La proporción de esta</w:t>
      </w:r>
      <w:r w:rsidR="00A833BF" w:rsidRPr="0084402E">
        <w:rPr>
          <w:rFonts w:ascii="Arial" w:eastAsiaTheme="minorEastAsia" w:hAnsi="Arial" w:cs="Arial"/>
          <w:sz w:val="24"/>
          <w:szCs w:val="24"/>
        </w:rPr>
        <w:t xml:space="preserve"> problemática que el IEAEY se enfoca a atender en el ejercicio 2014, según se establece en el POA antes citado</w:t>
      </w:r>
      <w:r w:rsidRPr="0084402E">
        <w:rPr>
          <w:rFonts w:ascii="Arial" w:eastAsiaTheme="minorEastAsia" w:hAnsi="Arial" w:cs="Arial"/>
          <w:sz w:val="24"/>
          <w:szCs w:val="24"/>
        </w:rPr>
        <w:t>,</w:t>
      </w:r>
      <w:r w:rsidR="00A833BF" w:rsidRPr="0084402E">
        <w:rPr>
          <w:rFonts w:ascii="Arial" w:eastAsiaTheme="minorEastAsia" w:hAnsi="Arial" w:cs="Arial"/>
          <w:sz w:val="24"/>
          <w:szCs w:val="24"/>
        </w:rPr>
        <w:t xml:space="preserve"> </w:t>
      </w:r>
      <w:r w:rsidR="00DE616D">
        <w:rPr>
          <w:rFonts w:ascii="Arial" w:eastAsiaTheme="minorEastAsia" w:hAnsi="Arial" w:cs="Arial"/>
          <w:sz w:val="24"/>
          <w:szCs w:val="24"/>
        </w:rPr>
        <w:t>corresponde al 5</w:t>
      </w:r>
      <w:r w:rsidR="00662AA3" w:rsidRPr="0084402E">
        <w:rPr>
          <w:rFonts w:ascii="Arial" w:eastAsiaTheme="minorEastAsia" w:hAnsi="Arial" w:cs="Arial"/>
          <w:sz w:val="24"/>
          <w:szCs w:val="24"/>
        </w:rPr>
        <w:t xml:space="preserve">% del total del rezago, </w:t>
      </w:r>
      <w:r w:rsidR="00662AA3" w:rsidRPr="0084402E">
        <w:rPr>
          <w:rFonts w:ascii="Arial" w:eastAsiaTheme="minorEastAsia" w:hAnsi="Arial" w:cs="Arial"/>
          <w:sz w:val="24"/>
          <w:szCs w:val="24"/>
        </w:rPr>
        <w:lastRenderedPageBreak/>
        <w:t xml:space="preserve">a través de las 12 coordinaciones de zona que lo conforman, las cuales dan cobertura </w:t>
      </w:r>
      <w:r w:rsidR="00773396" w:rsidRPr="0084402E">
        <w:rPr>
          <w:rFonts w:ascii="Arial" w:eastAsiaTheme="minorEastAsia" w:hAnsi="Arial" w:cs="Arial"/>
          <w:sz w:val="24"/>
          <w:szCs w:val="24"/>
        </w:rPr>
        <w:t>a</w:t>
      </w:r>
      <w:r w:rsidR="00662AA3" w:rsidRPr="0084402E">
        <w:rPr>
          <w:rFonts w:ascii="Arial" w:eastAsiaTheme="minorEastAsia" w:hAnsi="Arial" w:cs="Arial"/>
          <w:sz w:val="24"/>
          <w:szCs w:val="24"/>
        </w:rPr>
        <w:t xml:space="preserve"> todas las localidades de </w:t>
      </w:r>
      <w:r w:rsidR="00773396" w:rsidRPr="0084402E">
        <w:rPr>
          <w:rFonts w:ascii="Arial" w:eastAsiaTheme="minorEastAsia" w:hAnsi="Arial" w:cs="Arial"/>
          <w:sz w:val="24"/>
          <w:szCs w:val="24"/>
        </w:rPr>
        <w:t>los</w:t>
      </w:r>
      <w:r w:rsidR="00662AA3" w:rsidRPr="0084402E">
        <w:rPr>
          <w:rFonts w:ascii="Arial" w:eastAsiaTheme="minorEastAsia" w:hAnsi="Arial" w:cs="Arial"/>
          <w:sz w:val="24"/>
          <w:szCs w:val="24"/>
        </w:rPr>
        <w:t xml:space="preserve"> 106 municipios del estado, pretendiendo lograr que 10 mil 400 conciudadanos concluyan algún nivel educativo, contribuyendo a reducir el rezago educativo en el estado y brindándole a la población de 15 años y más, en esta situación de rezago, servicios de educación básica de calidad, que contribuyan a su desarrollo personal, social y a la satisfacción de sus necesidades y expectativas.</w:t>
      </w:r>
      <w:r w:rsidR="00A833BF" w:rsidRPr="0084402E">
        <w:rPr>
          <w:rFonts w:ascii="Arial" w:eastAsiaTheme="minorEastAsia" w:hAnsi="Arial" w:cs="Arial"/>
          <w:sz w:val="24"/>
          <w:szCs w:val="24"/>
        </w:rPr>
        <w:t xml:space="preserve"> </w:t>
      </w:r>
    </w:p>
    <w:p w14:paraId="697C3256" w14:textId="77777777" w:rsidR="00B7588B" w:rsidRPr="0084402E" w:rsidRDefault="00B7588B" w:rsidP="004C0514">
      <w:pPr>
        <w:spacing w:after="0" w:line="360" w:lineRule="auto"/>
        <w:rPr>
          <w:rFonts w:ascii="Arial" w:eastAsiaTheme="minorEastAsia" w:hAnsi="Arial" w:cs="Arial"/>
          <w:sz w:val="24"/>
          <w:szCs w:val="24"/>
        </w:rPr>
      </w:pPr>
      <w:r w:rsidRPr="0084402E">
        <w:rPr>
          <w:rFonts w:ascii="Arial" w:eastAsiaTheme="minorEastAsia" w:hAnsi="Arial" w:cs="Arial"/>
          <w:sz w:val="24"/>
          <w:szCs w:val="24"/>
        </w:rPr>
        <w:br w:type="page"/>
      </w:r>
    </w:p>
    <w:p w14:paraId="5CA3EA14" w14:textId="77777777" w:rsidR="00C671F3" w:rsidRPr="0084402E" w:rsidRDefault="00C671F3" w:rsidP="00E63324">
      <w:pPr>
        <w:spacing w:after="0" w:line="360" w:lineRule="auto"/>
        <w:ind w:left="284"/>
        <w:jc w:val="both"/>
        <w:rPr>
          <w:rFonts w:ascii="Arial" w:eastAsiaTheme="minorEastAsia" w:hAnsi="Arial" w:cs="Arial"/>
          <w:b/>
          <w:sz w:val="24"/>
          <w:szCs w:val="24"/>
        </w:rPr>
      </w:pPr>
      <w:r w:rsidRPr="0084402E">
        <w:rPr>
          <w:rFonts w:ascii="Arial" w:eastAsiaTheme="minorEastAsia" w:hAnsi="Arial" w:cs="Arial"/>
          <w:b/>
          <w:sz w:val="24"/>
          <w:szCs w:val="24"/>
        </w:rPr>
        <w:lastRenderedPageBreak/>
        <w:t>3. ¿La justificación es la adecuada? Es decir ¿La ejecución del Programa resuelve el problema?</w:t>
      </w:r>
    </w:p>
    <w:p w14:paraId="1757DD21" w14:textId="77777777" w:rsidR="00E63324" w:rsidRPr="0084402E" w:rsidRDefault="00E63324" w:rsidP="00E63324">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RESPUESTA:</w:t>
      </w:r>
      <w:r w:rsidR="003E5ECD" w:rsidRPr="0084402E">
        <w:rPr>
          <w:rFonts w:ascii="Arial" w:eastAsiaTheme="minorEastAsia" w:hAnsi="Arial" w:cs="Arial"/>
          <w:b/>
          <w:sz w:val="24"/>
          <w:szCs w:val="24"/>
        </w:rPr>
        <w:t xml:space="preserve"> SÍ</w:t>
      </w:r>
    </w:p>
    <w:p w14:paraId="20CB08FE" w14:textId="77777777" w:rsidR="003E5ECD" w:rsidRPr="0084402E" w:rsidRDefault="003E5ECD" w:rsidP="00E63324">
      <w:pPr>
        <w:spacing w:after="0" w:line="360" w:lineRule="auto"/>
        <w:jc w:val="both"/>
        <w:rPr>
          <w:rFonts w:ascii="Arial" w:eastAsiaTheme="minorEastAsia" w:hAnsi="Arial" w:cs="Arial"/>
          <w:b/>
          <w:sz w:val="24"/>
          <w:szCs w:val="24"/>
        </w:rPr>
      </w:pPr>
    </w:p>
    <w:p w14:paraId="2824AF1F" w14:textId="10C80B25" w:rsidR="003E5ECD" w:rsidRPr="0084402E" w:rsidRDefault="0096437F" w:rsidP="00E63324">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En el Plan Estatal de Desarrollo 2012-2018 </w:t>
      </w:r>
      <w:r w:rsidR="004D7A34" w:rsidRPr="0084402E">
        <w:rPr>
          <w:rFonts w:ascii="Arial" w:eastAsiaTheme="minorEastAsia" w:hAnsi="Arial" w:cs="Arial"/>
          <w:sz w:val="24"/>
          <w:szCs w:val="24"/>
        </w:rPr>
        <w:t xml:space="preserve">se </w:t>
      </w:r>
      <w:r w:rsidRPr="0084402E">
        <w:rPr>
          <w:rFonts w:ascii="Arial" w:eastAsiaTheme="minorEastAsia" w:hAnsi="Arial" w:cs="Arial"/>
          <w:sz w:val="24"/>
          <w:szCs w:val="24"/>
        </w:rPr>
        <w:t xml:space="preserve">expone que de acuerdo con estadísticas del Sistema Nacional de Información Educativa (SNIE), en los últimos diez años el analfabetismo en el estado de Yucatán ha disminuido de 11.4% a 8.6%, y que el grado promedio de escolaridad se </w:t>
      </w:r>
      <w:r w:rsidR="003A1D09" w:rsidRPr="0084402E">
        <w:rPr>
          <w:rFonts w:ascii="Arial" w:eastAsiaTheme="minorEastAsia" w:hAnsi="Arial" w:cs="Arial"/>
          <w:sz w:val="24"/>
          <w:szCs w:val="24"/>
        </w:rPr>
        <w:t>h</w:t>
      </w:r>
      <w:r w:rsidRPr="0084402E">
        <w:rPr>
          <w:rFonts w:ascii="Arial" w:eastAsiaTheme="minorEastAsia" w:hAnsi="Arial" w:cs="Arial"/>
          <w:sz w:val="24"/>
          <w:szCs w:val="24"/>
        </w:rPr>
        <w:t>a incrementado de 7 a 8.4 años.</w:t>
      </w:r>
      <w:r w:rsidR="003A1D09" w:rsidRPr="0084402E">
        <w:rPr>
          <w:rFonts w:ascii="Arial" w:eastAsiaTheme="minorEastAsia" w:hAnsi="Arial" w:cs="Arial"/>
          <w:sz w:val="24"/>
          <w:szCs w:val="24"/>
        </w:rPr>
        <w:t xml:space="preserve"> A ello han contribuido los servicios de alfabetización y educación primaria que presta el IEAEY desde que el Gobierno Federal descentralizó los servicios de educación para adultos, y el Gobierno del Estado de Yucatán firmó el Convenio con la Federación para la descentralización de dichos recursos, mismo que se publicó en el Diario Oficial de la Federación (DOF) el 12 de septiembre de 1999.</w:t>
      </w:r>
    </w:p>
    <w:p w14:paraId="225F109B" w14:textId="77777777" w:rsidR="00FB156A" w:rsidRPr="0084402E" w:rsidRDefault="00FB156A" w:rsidP="00E63324">
      <w:pPr>
        <w:spacing w:after="0" w:line="360" w:lineRule="auto"/>
        <w:jc w:val="both"/>
        <w:rPr>
          <w:rFonts w:ascii="Arial" w:eastAsiaTheme="minorEastAsia" w:hAnsi="Arial" w:cs="Arial"/>
          <w:sz w:val="24"/>
          <w:szCs w:val="24"/>
        </w:rPr>
      </w:pPr>
    </w:p>
    <w:p w14:paraId="2BE9B88C" w14:textId="736A26A4" w:rsidR="00B7588B" w:rsidRPr="0084402E" w:rsidRDefault="00FB156A" w:rsidP="001579FF">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Se considera que el Programa sí se justifica y está orientado a la resolución del problema, en virtud de que el diseño de la política de educación para adultos, así como de las reglas de operación para los programas de educación y capacitación para adultos y los sistemas de información escolar y los procesos de gestión de estos servicios educativos que rige la Federación a través del INEA y que ha sido implementado por IEAEY</w:t>
      </w:r>
      <w:r w:rsidR="004D7A34" w:rsidRPr="0084402E">
        <w:rPr>
          <w:rFonts w:ascii="Arial" w:eastAsiaTheme="minorEastAsia" w:hAnsi="Arial" w:cs="Arial"/>
          <w:sz w:val="24"/>
          <w:szCs w:val="24"/>
        </w:rPr>
        <w:t>, en el e</w:t>
      </w:r>
      <w:r w:rsidR="004B0700" w:rsidRPr="0084402E">
        <w:rPr>
          <w:rFonts w:ascii="Arial" w:eastAsiaTheme="minorEastAsia" w:hAnsi="Arial" w:cs="Arial"/>
          <w:sz w:val="24"/>
          <w:szCs w:val="24"/>
        </w:rPr>
        <w:t>stado,</w:t>
      </w:r>
      <w:r w:rsidRPr="0084402E">
        <w:rPr>
          <w:rFonts w:ascii="Arial" w:eastAsiaTheme="minorEastAsia" w:hAnsi="Arial" w:cs="Arial"/>
          <w:sz w:val="24"/>
          <w:szCs w:val="24"/>
        </w:rPr>
        <w:t xml:space="preserve"> es congruente con los objetivos establecidos tanto en la Ley de Coordinación Fiscal como en los planes de desarrollo del ámbito federal y </w:t>
      </w:r>
      <w:r w:rsidR="00C82FF4" w:rsidRPr="0084402E">
        <w:rPr>
          <w:rFonts w:ascii="Arial" w:eastAsiaTheme="minorEastAsia" w:hAnsi="Arial" w:cs="Arial"/>
          <w:sz w:val="24"/>
          <w:szCs w:val="24"/>
        </w:rPr>
        <w:t>estatal, objetivos que están orientados a la atención de la problemática del rezago educativo</w:t>
      </w:r>
      <w:r w:rsidR="00773396" w:rsidRPr="0084402E">
        <w:rPr>
          <w:rFonts w:ascii="Arial" w:eastAsiaTheme="minorEastAsia" w:hAnsi="Arial" w:cs="Arial"/>
          <w:sz w:val="24"/>
          <w:szCs w:val="24"/>
        </w:rPr>
        <w:t>, y basados en los diagnósticos sobre la misma</w:t>
      </w:r>
      <w:r w:rsidR="00C82FF4" w:rsidRPr="0084402E">
        <w:rPr>
          <w:rFonts w:ascii="Arial" w:eastAsiaTheme="minorEastAsia" w:hAnsi="Arial" w:cs="Arial"/>
          <w:sz w:val="24"/>
          <w:szCs w:val="24"/>
        </w:rPr>
        <w:t xml:space="preserve">. </w:t>
      </w:r>
      <w:r w:rsidRPr="0084402E">
        <w:rPr>
          <w:rFonts w:ascii="Arial" w:eastAsiaTheme="minorEastAsia" w:hAnsi="Arial" w:cs="Arial"/>
          <w:sz w:val="24"/>
          <w:szCs w:val="24"/>
        </w:rPr>
        <w:t xml:space="preserve"> </w:t>
      </w:r>
      <w:r w:rsidR="00B7588B" w:rsidRPr="0084402E">
        <w:rPr>
          <w:rFonts w:ascii="Arial" w:eastAsiaTheme="minorEastAsia" w:hAnsi="Arial" w:cs="Arial"/>
          <w:b/>
          <w:i/>
          <w:sz w:val="24"/>
          <w:szCs w:val="24"/>
        </w:rPr>
        <w:br w:type="page"/>
      </w:r>
    </w:p>
    <w:p w14:paraId="405994F2" w14:textId="77777777" w:rsidR="00CC6342" w:rsidRPr="0084402E" w:rsidRDefault="00CC6342" w:rsidP="004C0514">
      <w:pPr>
        <w:spacing w:after="0" w:line="360" w:lineRule="auto"/>
        <w:jc w:val="center"/>
        <w:rPr>
          <w:rFonts w:ascii="Arial" w:hAnsi="Arial" w:cs="Arial"/>
          <w:sz w:val="24"/>
          <w:szCs w:val="24"/>
        </w:rPr>
      </w:pPr>
    </w:p>
    <w:p w14:paraId="47B3E9B2" w14:textId="77777777" w:rsidR="00CC6342" w:rsidRPr="0084402E" w:rsidRDefault="00CC6342" w:rsidP="004C0514">
      <w:pPr>
        <w:spacing w:after="0" w:line="360" w:lineRule="auto"/>
        <w:jc w:val="center"/>
        <w:rPr>
          <w:rFonts w:ascii="Arial" w:hAnsi="Arial" w:cs="Arial"/>
          <w:sz w:val="24"/>
          <w:szCs w:val="24"/>
        </w:rPr>
      </w:pPr>
    </w:p>
    <w:p w14:paraId="5C192D13" w14:textId="77777777" w:rsidR="00CC6342" w:rsidRPr="0084402E" w:rsidRDefault="00CC6342" w:rsidP="004C0514">
      <w:pPr>
        <w:spacing w:after="0" w:line="360" w:lineRule="auto"/>
        <w:jc w:val="center"/>
        <w:rPr>
          <w:rFonts w:ascii="Arial" w:hAnsi="Arial" w:cs="Arial"/>
          <w:sz w:val="24"/>
          <w:szCs w:val="24"/>
        </w:rPr>
      </w:pPr>
    </w:p>
    <w:p w14:paraId="4CE322D2" w14:textId="77777777" w:rsidR="00CC6342" w:rsidRPr="0084402E" w:rsidRDefault="00CC6342" w:rsidP="004C0514">
      <w:pPr>
        <w:spacing w:after="0" w:line="360" w:lineRule="auto"/>
        <w:jc w:val="center"/>
        <w:rPr>
          <w:rFonts w:ascii="Arial" w:hAnsi="Arial" w:cs="Arial"/>
          <w:sz w:val="24"/>
          <w:szCs w:val="24"/>
        </w:rPr>
      </w:pPr>
    </w:p>
    <w:p w14:paraId="40BBA1DD" w14:textId="77777777" w:rsidR="00CC6342" w:rsidRPr="0084402E" w:rsidRDefault="00CC6342" w:rsidP="004C0514">
      <w:pPr>
        <w:spacing w:after="0" w:line="360" w:lineRule="auto"/>
        <w:jc w:val="center"/>
        <w:rPr>
          <w:rFonts w:ascii="Arial" w:hAnsi="Arial" w:cs="Arial"/>
          <w:sz w:val="24"/>
          <w:szCs w:val="24"/>
        </w:rPr>
      </w:pPr>
    </w:p>
    <w:p w14:paraId="793D7160" w14:textId="77777777" w:rsidR="00C25BC7" w:rsidRPr="0084402E" w:rsidRDefault="00C25BC7" w:rsidP="004C0514">
      <w:pPr>
        <w:spacing w:after="0" w:line="360" w:lineRule="auto"/>
        <w:jc w:val="center"/>
        <w:rPr>
          <w:rFonts w:ascii="Arial" w:hAnsi="Arial" w:cs="Arial"/>
          <w:sz w:val="24"/>
          <w:szCs w:val="24"/>
        </w:rPr>
      </w:pPr>
    </w:p>
    <w:p w14:paraId="453364C3" w14:textId="77777777" w:rsidR="00CC6342" w:rsidRPr="0084402E" w:rsidRDefault="00CC6342" w:rsidP="004C0514">
      <w:pPr>
        <w:spacing w:after="0" w:line="360" w:lineRule="auto"/>
        <w:jc w:val="center"/>
        <w:rPr>
          <w:rFonts w:ascii="Arial" w:hAnsi="Arial" w:cs="Arial"/>
          <w:sz w:val="24"/>
          <w:szCs w:val="24"/>
        </w:rPr>
      </w:pPr>
    </w:p>
    <w:p w14:paraId="4A5954E4" w14:textId="77777777" w:rsidR="001579FF" w:rsidRPr="0084402E" w:rsidRDefault="001579FF" w:rsidP="004C0514">
      <w:pPr>
        <w:spacing w:after="0" w:line="360" w:lineRule="auto"/>
        <w:jc w:val="center"/>
        <w:rPr>
          <w:rFonts w:ascii="Arial" w:hAnsi="Arial" w:cs="Arial"/>
          <w:sz w:val="24"/>
          <w:szCs w:val="24"/>
        </w:rPr>
      </w:pPr>
    </w:p>
    <w:p w14:paraId="601A9DA5" w14:textId="77777777" w:rsidR="001579FF" w:rsidRDefault="001579FF" w:rsidP="004C0514">
      <w:pPr>
        <w:spacing w:after="0" w:line="360" w:lineRule="auto"/>
        <w:jc w:val="center"/>
        <w:rPr>
          <w:rFonts w:ascii="Arial" w:hAnsi="Arial" w:cs="Arial"/>
          <w:sz w:val="24"/>
          <w:szCs w:val="24"/>
        </w:rPr>
      </w:pPr>
    </w:p>
    <w:p w14:paraId="19E4D9D2" w14:textId="77777777" w:rsidR="00315EF2" w:rsidRDefault="00315EF2" w:rsidP="004C0514">
      <w:pPr>
        <w:spacing w:after="0" w:line="360" w:lineRule="auto"/>
        <w:jc w:val="center"/>
        <w:rPr>
          <w:rFonts w:ascii="Arial" w:hAnsi="Arial" w:cs="Arial"/>
          <w:sz w:val="24"/>
          <w:szCs w:val="24"/>
        </w:rPr>
      </w:pPr>
    </w:p>
    <w:p w14:paraId="7B851105" w14:textId="77777777" w:rsidR="00315EF2" w:rsidRDefault="00315EF2" w:rsidP="004C0514">
      <w:pPr>
        <w:spacing w:after="0" w:line="360" w:lineRule="auto"/>
        <w:jc w:val="center"/>
        <w:rPr>
          <w:rFonts w:ascii="Arial" w:hAnsi="Arial" w:cs="Arial"/>
          <w:sz w:val="24"/>
          <w:szCs w:val="24"/>
        </w:rPr>
      </w:pPr>
    </w:p>
    <w:p w14:paraId="5FAD7477" w14:textId="77777777" w:rsidR="00CC6342" w:rsidRPr="0084402E" w:rsidRDefault="00CC6342" w:rsidP="00DC4907">
      <w:pPr>
        <w:spacing w:after="0" w:line="360" w:lineRule="auto"/>
        <w:jc w:val="center"/>
        <w:rPr>
          <w:rFonts w:ascii="Arial" w:hAnsi="Arial" w:cs="Arial"/>
          <w:sz w:val="24"/>
          <w:szCs w:val="24"/>
        </w:rPr>
      </w:pPr>
    </w:p>
    <w:p w14:paraId="1C59DB17" w14:textId="77777777" w:rsidR="002D4695" w:rsidRPr="0084402E" w:rsidRDefault="00E63324" w:rsidP="002D4695">
      <w:pPr>
        <w:spacing w:after="0" w:line="360" w:lineRule="auto"/>
        <w:jc w:val="center"/>
        <w:rPr>
          <w:rFonts w:ascii="Arial" w:eastAsiaTheme="minorEastAsia" w:hAnsi="Arial" w:cs="Arial"/>
          <w:b/>
          <w:sz w:val="24"/>
          <w:szCs w:val="24"/>
        </w:rPr>
      </w:pPr>
      <w:r w:rsidRPr="0084402E">
        <w:rPr>
          <w:rFonts w:ascii="Arial" w:hAnsi="Arial" w:cs="Arial"/>
          <w:b/>
          <w:sz w:val="24"/>
          <w:szCs w:val="24"/>
        </w:rPr>
        <w:t xml:space="preserve">II. </w:t>
      </w:r>
      <w:r w:rsidRPr="0084402E">
        <w:rPr>
          <w:rFonts w:ascii="Arial" w:eastAsiaTheme="minorEastAsia" w:hAnsi="Arial" w:cs="Arial"/>
          <w:b/>
          <w:sz w:val="24"/>
          <w:szCs w:val="24"/>
        </w:rPr>
        <w:t xml:space="preserve">PLANEACIÓN ESTRATÉGICA </w:t>
      </w:r>
    </w:p>
    <w:p w14:paraId="3E36BD60" w14:textId="77777777" w:rsidR="002D4695" w:rsidRPr="0084402E" w:rsidRDefault="002D4695">
      <w:pPr>
        <w:spacing w:after="0" w:line="240" w:lineRule="auto"/>
        <w:rPr>
          <w:rFonts w:ascii="Arial" w:eastAsiaTheme="minorEastAsia" w:hAnsi="Arial" w:cs="Arial"/>
          <w:b/>
          <w:sz w:val="24"/>
          <w:szCs w:val="24"/>
        </w:rPr>
      </w:pPr>
      <w:r w:rsidRPr="0084402E">
        <w:rPr>
          <w:rFonts w:ascii="Arial" w:eastAsiaTheme="minorEastAsia" w:hAnsi="Arial" w:cs="Arial"/>
          <w:b/>
          <w:sz w:val="24"/>
          <w:szCs w:val="24"/>
        </w:rPr>
        <w:br w:type="page"/>
      </w:r>
    </w:p>
    <w:p w14:paraId="550BD24E" w14:textId="77777777" w:rsidR="00C671F3" w:rsidRPr="0084402E" w:rsidRDefault="00C671F3" w:rsidP="00E63324">
      <w:pPr>
        <w:spacing w:after="0" w:line="360" w:lineRule="auto"/>
        <w:ind w:left="284"/>
        <w:jc w:val="both"/>
        <w:rPr>
          <w:rFonts w:ascii="Arial" w:eastAsiaTheme="minorEastAsia" w:hAnsi="Arial" w:cs="Arial"/>
          <w:b/>
          <w:sz w:val="24"/>
          <w:szCs w:val="24"/>
        </w:rPr>
      </w:pPr>
      <w:r w:rsidRPr="0084402E">
        <w:rPr>
          <w:rFonts w:ascii="Arial" w:eastAsiaTheme="minorEastAsia" w:hAnsi="Arial" w:cs="Arial"/>
          <w:b/>
          <w:sz w:val="24"/>
          <w:szCs w:val="24"/>
        </w:rPr>
        <w:lastRenderedPageBreak/>
        <w:t>4. Completar el siguiente cuadro de texto:</w:t>
      </w:r>
    </w:p>
    <w:p w14:paraId="418FF0A6" w14:textId="77777777" w:rsidR="00E63324" w:rsidRPr="0084402E" w:rsidRDefault="00E63324" w:rsidP="00E63324">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RESPUESTA:</w:t>
      </w:r>
    </w:p>
    <w:tbl>
      <w:tblPr>
        <w:tblStyle w:val="Tablaconcuadrcula1"/>
        <w:tblW w:w="0" w:type="auto"/>
        <w:tblLook w:val="04A0" w:firstRow="1" w:lastRow="0" w:firstColumn="1" w:lastColumn="0" w:noHBand="0" w:noVBand="1"/>
      </w:tblPr>
      <w:tblGrid>
        <w:gridCol w:w="617"/>
        <w:gridCol w:w="9458"/>
      </w:tblGrid>
      <w:tr w:rsidR="00C671F3" w:rsidRPr="0084402E" w14:paraId="5E7F8BA8" w14:textId="77777777" w:rsidTr="00E63324">
        <w:tc>
          <w:tcPr>
            <w:tcW w:w="0" w:type="auto"/>
            <w:gridSpan w:val="2"/>
            <w:shd w:val="clear" w:color="auto" w:fill="808080" w:themeFill="background1" w:themeFillShade="80"/>
          </w:tcPr>
          <w:p w14:paraId="4A0FE2E0" w14:textId="77777777" w:rsidR="00C671F3" w:rsidRPr="0084402E" w:rsidRDefault="00C671F3" w:rsidP="004C0514">
            <w:pPr>
              <w:spacing w:after="100" w:afterAutospacing="1" w:line="360" w:lineRule="auto"/>
              <w:jc w:val="center"/>
              <w:rPr>
                <w:rFonts w:ascii="Arial" w:eastAsiaTheme="minorEastAsia" w:hAnsi="Arial" w:cs="Arial"/>
                <w:b/>
                <w:bCs/>
                <w:i/>
                <w:color w:val="FFFFFF" w:themeColor="background1"/>
                <w:sz w:val="24"/>
                <w:szCs w:val="24"/>
              </w:rPr>
            </w:pPr>
            <w:r w:rsidRPr="0084402E">
              <w:rPr>
                <w:rFonts w:ascii="Arial" w:eastAsiaTheme="minorEastAsia" w:hAnsi="Arial" w:cs="Arial"/>
                <w:b/>
                <w:bCs/>
                <w:i/>
                <w:color w:val="FFFFFF" w:themeColor="background1"/>
                <w:sz w:val="24"/>
                <w:szCs w:val="24"/>
              </w:rPr>
              <w:t>Cuadro No.  1. Planeación Estratégica</w:t>
            </w:r>
          </w:p>
        </w:tc>
      </w:tr>
      <w:tr w:rsidR="00C671F3" w:rsidRPr="0084402E" w14:paraId="650F47E6" w14:textId="77777777" w:rsidTr="00E63324">
        <w:tc>
          <w:tcPr>
            <w:tcW w:w="0" w:type="auto"/>
            <w:vAlign w:val="center"/>
          </w:tcPr>
          <w:p w14:paraId="5E1D9587" w14:textId="77777777" w:rsidR="00C671F3" w:rsidRPr="0084402E" w:rsidRDefault="00C671F3" w:rsidP="00665C3F">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4.1</w:t>
            </w:r>
          </w:p>
        </w:tc>
        <w:tc>
          <w:tcPr>
            <w:tcW w:w="0" w:type="auto"/>
          </w:tcPr>
          <w:p w14:paraId="2FFE52A8" w14:textId="77777777" w:rsidR="00C671F3" w:rsidRPr="0084402E" w:rsidRDefault="00C671F3" w:rsidP="00665C3F">
            <w:pPr>
              <w:spacing w:after="0" w:line="240" w:lineRule="auto"/>
              <w:jc w:val="both"/>
              <w:rPr>
                <w:rFonts w:ascii="Arial" w:eastAsiaTheme="minorEastAsia" w:hAnsi="Arial" w:cs="Arial"/>
                <w:sz w:val="24"/>
                <w:szCs w:val="24"/>
              </w:rPr>
            </w:pPr>
            <w:r w:rsidRPr="0084402E">
              <w:rPr>
                <w:rFonts w:ascii="Arial" w:eastAsiaTheme="minorEastAsia" w:hAnsi="Arial" w:cs="Arial"/>
                <w:sz w:val="24"/>
                <w:szCs w:val="24"/>
              </w:rPr>
              <w:t>Contribución al Plan Nacional de Desarrollo 2013-2018</w:t>
            </w:r>
            <w:r w:rsidR="00665C3F" w:rsidRPr="0084402E">
              <w:rPr>
                <w:rFonts w:ascii="Arial" w:eastAsiaTheme="minorEastAsia" w:hAnsi="Arial" w:cs="Arial"/>
                <w:sz w:val="24"/>
                <w:szCs w:val="24"/>
              </w:rPr>
              <w:t>:</w:t>
            </w:r>
          </w:p>
          <w:p w14:paraId="4AB5BF1D" w14:textId="77777777" w:rsidR="00665C3F" w:rsidRPr="0084402E" w:rsidRDefault="00665C3F" w:rsidP="00665C3F">
            <w:pPr>
              <w:spacing w:after="0" w:line="240" w:lineRule="auto"/>
              <w:jc w:val="both"/>
              <w:rPr>
                <w:rFonts w:ascii="Arial" w:eastAsiaTheme="minorEastAsia" w:hAnsi="Arial" w:cs="Arial"/>
                <w:sz w:val="24"/>
                <w:szCs w:val="24"/>
              </w:rPr>
            </w:pPr>
          </w:p>
          <w:p w14:paraId="39718B56" w14:textId="6C663970" w:rsidR="00665C3F" w:rsidRPr="0084402E" w:rsidRDefault="00665C3F" w:rsidP="00665C3F">
            <w:pPr>
              <w:spacing w:after="0" w:line="240" w:lineRule="auto"/>
              <w:jc w:val="both"/>
              <w:rPr>
                <w:rFonts w:ascii="Arial" w:eastAsiaTheme="minorEastAsia" w:hAnsi="Arial" w:cs="Arial"/>
                <w:sz w:val="24"/>
                <w:szCs w:val="24"/>
              </w:rPr>
            </w:pPr>
            <w:r w:rsidRPr="0084402E">
              <w:rPr>
                <w:rFonts w:ascii="Arial" w:eastAsiaTheme="minorEastAsia" w:hAnsi="Arial" w:cs="Arial"/>
                <w:sz w:val="24"/>
                <w:szCs w:val="24"/>
              </w:rPr>
              <w:t>Objetivo 3.2 del Plan Nacional de Desarrollo 2013-2018. “Garantizar la inclusión y la equidad en el sistema educativo</w:t>
            </w:r>
            <w:r w:rsidR="000D1CA7" w:rsidRPr="0084402E">
              <w:rPr>
                <w:rFonts w:ascii="Arial" w:eastAsiaTheme="minorEastAsia" w:hAnsi="Arial" w:cs="Arial"/>
                <w:sz w:val="24"/>
                <w:szCs w:val="24"/>
              </w:rPr>
              <w:t>.</w:t>
            </w:r>
          </w:p>
          <w:p w14:paraId="53FB26E0" w14:textId="77777777" w:rsidR="00665C3F" w:rsidRPr="0084402E" w:rsidRDefault="00665C3F" w:rsidP="00665C3F">
            <w:pPr>
              <w:spacing w:after="0" w:line="240" w:lineRule="auto"/>
              <w:jc w:val="both"/>
              <w:rPr>
                <w:rFonts w:ascii="Arial" w:eastAsiaTheme="minorEastAsia" w:hAnsi="Arial" w:cs="Arial"/>
                <w:sz w:val="24"/>
                <w:szCs w:val="24"/>
              </w:rPr>
            </w:pPr>
          </w:p>
        </w:tc>
      </w:tr>
      <w:tr w:rsidR="00665C3F" w:rsidRPr="0084402E" w14:paraId="0C6F6898" w14:textId="77777777" w:rsidTr="00E63324">
        <w:tc>
          <w:tcPr>
            <w:tcW w:w="0" w:type="auto"/>
            <w:vAlign w:val="center"/>
          </w:tcPr>
          <w:p w14:paraId="16462B4F" w14:textId="77777777" w:rsidR="00665C3F" w:rsidRPr="0084402E" w:rsidRDefault="00665C3F" w:rsidP="00665C3F">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4.2</w:t>
            </w:r>
          </w:p>
        </w:tc>
        <w:tc>
          <w:tcPr>
            <w:tcW w:w="0" w:type="auto"/>
          </w:tcPr>
          <w:p w14:paraId="1CF826A1" w14:textId="50FE4FEB" w:rsidR="00665C3F" w:rsidRPr="0084402E" w:rsidRDefault="00665C3F" w:rsidP="00665C3F">
            <w:pPr>
              <w:spacing w:after="0" w:line="240" w:lineRule="auto"/>
              <w:jc w:val="both"/>
              <w:rPr>
                <w:rFonts w:ascii="Arial" w:eastAsiaTheme="minorEastAsia" w:hAnsi="Arial" w:cs="Arial"/>
                <w:sz w:val="24"/>
                <w:szCs w:val="24"/>
              </w:rPr>
            </w:pPr>
            <w:r w:rsidRPr="0084402E">
              <w:rPr>
                <w:rFonts w:ascii="Arial" w:eastAsiaTheme="minorEastAsia" w:hAnsi="Arial" w:cs="Arial"/>
                <w:sz w:val="24"/>
                <w:szCs w:val="24"/>
              </w:rPr>
              <w:t>Contribución al Programa Sectorial de Educación 2013-2018</w:t>
            </w:r>
            <w:r w:rsidR="000D1CA7" w:rsidRPr="0084402E">
              <w:rPr>
                <w:rFonts w:ascii="Arial" w:eastAsiaTheme="minorEastAsia" w:hAnsi="Arial" w:cs="Arial"/>
                <w:sz w:val="24"/>
                <w:szCs w:val="24"/>
              </w:rPr>
              <w:t>.</w:t>
            </w:r>
          </w:p>
          <w:p w14:paraId="76EEB96A" w14:textId="77777777" w:rsidR="00665C3F" w:rsidRPr="0084402E" w:rsidRDefault="00665C3F" w:rsidP="00665C3F">
            <w:pPr>
              <w:spacing w:after="0" w:line="240" w:lineRule="auto"/>
              <w:jc w:val="both"/>
              <w:rPr>
                <w:rFonts w:ascii="Arial" w:eastAsiaTheme="minorEastAsia" w:hAnsi="Arial" w:cs="Arial"/>
                <w:sz w:val="24"/>
                <w:szCs w:val="24"/>
              </w:rPr>
            </w:pPr>
          </w:p>
          <w:p w14:paraId="3F4C09EC" w14:textId="77777777" w:rsidR="00665C3F" w:rsidRPr="0084402E" w:rsidRDefault="00665C3F" w:rsidP="00665C3F">
            <w:pPr>
              <w:spacing w:after="0" w:line="240" w:lineRule="auto"/>
              <w:jc w:val="both"/>
              <w:rPr>
                <w:rFonts w:ascii="Arial" w:eastAsiaTheme="minorEastAsia" w:hAnsi="Arial" w:cs="Arial"/>
                <w:sz w:val="24"/>
                <w:szCs w:val="24"/>
              </w:rPr>
            </w:pPr>
            <w:r w:rsidRPr="0084402E">
              <w:rPr>
                <w:rFonts w:ascii="Arial" w:eastAsiaTheme="minorEastAsia" w:hAnsi="Arial" w:cs="Arial"/>
                <w:sz w:val="24"/>
                <w:szCs w:val="24"/>
              </w:rPr>
              <w:t>Objetivo 3. Asegurar mayor cobertura, inclusión y equidad educativa entre todos los grupos de la población, para la construcción de una sociedad más justa.</w:t>
            </w:r>
          </w:p>
          <w:p w14:paraId="63258AA8" w14:textId="77777777" w:rsidR="00665C3F" w:rsidRPr="0084402E" w:rsidRDefault="00665C3F" w:rsidP="00665C3F">
            <w:pPr>
              <w:spacing w:after="0" w:line="240" w:lineRule="auto"/>
              <w:jc w:val="both"/>
              <w:rPr>
                <w:rFonts w:ascii="Arial" w:eastAsiaTheme="minorEastAsia" w:hAnsi="Arial" w:cs="Arial"/>
                <w:sz w:val="24"/>
                <w:szCs w:val="24"/>
              </w:rPr>
            </w:pPr>
          </w:p>
          <w:p w14:paraId="32454CC3" w14:textId="77777777" w:rsidR="00665C3F" w:rsidRPr="0084402E" w:rsidRDefault="00665C3F" w:rsidP="00665C3F">
            <w:pPr>
              <w:spacing w:after="0" w:line="240" w:lineRule="auto"/>
              <w:jc w:val="both"/>
              <w:rPr>
                <w:rFonts w:ascii="Arial" w:eastAsiaTheme="minorEastAsia" w:hAnsi="Arial" w:cs="Arial"/>
                <w:sz w:val="24"/>
                <w:szCs w:val="24"/>
              </w:rPr>
            </w:pPr>
            <w:r w:rsidRPr="0084402E">
              <w:rPr>
                <w:rFonts w:ascii="Arial" w:eastAsiaTheme="minorEastAsia" w:hAnsi="Arial" w:cs="Arial"/>
                <w:sz w:val="24"/>
                <w:szCs w:val="24"/>
              </w:rPr>
              <w:t>Estrategia 3.7: Intensificar y diversificar los programas para la educación de las personas adultas y la disminuc</w:t>
            </w:r>
            <w:r w:rsidR="0038427D" w:rsidRPr="0084402E">
              <w:rPr>
                <w:rFonts w:ascii="Arial" w:eastAsiaTheme="minorEastAsia" w:hAnsi="Arial" w:cs="Arial"/>
                <w:sz w:val="24"/>
                <w:szCs w:val="24"/>
              </w:rPr>
              <w:t>ión del rezago educativo</w:t>
            </w:r>
            <w:r w:rsidRPr="0084402E">
              <w:rPr>
                <w:rFonts w:ascii="Arial" w:eastAsiaTheme="minorEastAsia" w:hAnsi="Arial" w:cs="Arial"/>
                <w:sz w:val="24"/>
                <w:szCs w:val="24"/>
              </w:rPr>
              <w:t>.</w:t>
            </w:r>
          </w:p>
          <w:p w14:paraId="279EA6BD" w14:textId="77777777" w:rsidR="00665C3F" w:rsidRPr="0084402E" w:rsidRDefault="00665C3F" w:rsidP="00665C3F">
            <w:pPr>
              <w:spacing w:after="0" w:line="240" w:lineRule="auto"/>
              <w:jc w:val="both"/>
              <w:rPr>
                <w:rFonts w:ascii="Arial" w:eastAsiaTheme="minorEastAsia" w:hAnsi="Arial" w:cs="Arial"/>
                <w:sz w:val="24"/>
                <w:szCs w:val="24"/>
              </w:rPr>
            </w:pPr>
          </w:p>
        </w:tc>
      </w:tr>
      <w:tr w:rsidR="00C671F3" w:rsidRPr="0084402E" w14:paraId="724054BF" w14:textId="77777777" w:rsidTr="00E63324">
        <w:tc>
          <w:tcPr>
            <w:tcW w:w="0" w:type="auto"/>
            <w:vAlign w:val="center"/>
          </w:tcPr>
          <w:p w14:paraId="290C5115" w14:textId="77777777" w:rsidR="00C671F3" w:rsidRPr="0084402E" w:rsidRDefault="00665C3F" w:rsidP="00665C3F">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4.3</w:t>
            </w:r>
            <w:r w:rsidR="00C671F3" w:rsidRPr="0084402E">
              <w:rPr>
                <w:rFonts w:ascii="Arial" w:eastAsiaTheme="minorEastAsia" w:hAnsi="Arial" w:cs="Arial"/>
                <w:b/>
                <w:sz w:val="24"/>
                <w:szCs w:val="24"/>
              </w:rPr>
              <w:t>.</w:t>
            </w:r>
          </w:p>
        </w:tc>
        <w:tc>
          <w:tcPr>
            <w:tcW w:w="0" w:type="auto"/>
          </w:tcPr>
          <w:p w14:paraId="588F5F81" w14:textId="474CDB83" w:rsidR="00665C3F" w:rsidRPr="0084402E" w:rsidRDefault="00C671F3" w:rsidP="00665C3F">
            <w:pPr>
              <w:spacing w:after="0" w:line="240" w:lineRule="auto"/>
              <w:jc w:val="both"/>
              <w:rPr>
                <w:rFonts w:ascii="Arial" w:eastAsiaTheme="minorEastAsia" w:hAnsi="Arial" w:cs="Arial"/>
                <w:sz w:val="24"/>
                <w:szCs w:val="24"/>
              </w:rPr>
            </w:pPr>
            <w:r w:rsidRPr="0084402E">
              <w:rPr>
                <w:rFonts w:ascii="Arial" w:eastAsiaTheme="minorEastAsia" w:hAnsi="Arial" w:cs="Arial"/>
                <w:sz w:val="24"/>
                <w:szCs w:val="24"/>
              </w:rPr>
              <w:t xml:space="preserve">Contribución al Plan </w:t>
            </w:r>
            <w:r w:rsidR="0038427D" w:rsidRPr="0084402E">
              <w:rPr>
                <w:rFonts w:ascii="Arial" w:eastAsiaTheme="minorEastAsia" w:hAnsi="Arial" w:cs="Arial"/>
                <w:sz w:val="24"/>
                <w:szCs w:val="24"/>
              </w:rPr>
              <w:t>Estatal de Desarrollo 2012-2018</w:t>
            </w:r>
            <w:r w:rsidR="000D1CA7" w:rsidRPr="0084402E">
              <w:rPr>
                <w:rFonts w:ascii="Arial" w:eastAsiaTheme="minorEastAsia" w:hAnsi="Arial" w:cs="Arial"/>
                <w:sz w:val="24"/>
                <w:szCs w:val="24"/>
              </w:rPr>
              <w:t>:</w:t>
            </w:r>
          </w:p>
          <w:p w14:paraId="0F4FBFA4" w14:textId="77777777" w:rsidR="0038427D" w:rsidRPr="0084402E" w:rsidRDefault="0038427D" w:rsidP="00665C3F">
            <w:pPr>
              <w:spacing w:after="0" w:line="240" w:lineRule="auto"/>
              <w:jc w:val="both"/>
              <w:rPr>
                <w:rFonts w:ascii="Arial" w:eastAsiaTheme="minorEastAsia" w:hAnsi="Arial" w:cs="Arial"/>
                <w:sz w:val="24"/>
                <w:szCs w:val="24"/>
              </w:rPr>
            </w:pPr>
          </w:p>
          <w:p w14:paraId="0177C003" w14:textId="07688D38" w:rsidR="00665C3F" w:rsidRPr="0084402E" w:rsidRDefault="00665C3F" w:rsidP="00665C3F">
            <w:pPr>
              <w:spacing w:after="0" w:line="240" w:lineRule="auto"/>
              <w:jc w:val="both"/>
              <w:rPr>
                <w:rFonts w:ascii="Arial" w:eastAsiaTheme="minorEastAsia" w:hAnsi="Arial" w:cs="Arial"/>
                <w:sz w:val="24"/>
                <w:szCs w:val="24"/>
              </w:rPr>
            </w:pPr>
            <w:r w:rsidRPr="0084402E">
              <w:rPr>
                <w:rFonts w:ascii="Arial" w:eastAsiaTheme="minorEastAsia" w:hAnsi="Arial" w:cs="Arial"/>
                <w:sz w:val="24"/>
                <w:szCs w:val="24"/>
              </w:rPr>
              <w:t>Eje 03: Yucatán con educación de calidad</w:t>
            </w:r>
            <w:r w:rsidR="000D1CA7" w:rsidRPr="0084402E">
              <w:rPr>
                <w:rFonts w:ascii="Arial" w:eastAsiaTheme="minorEastAsia" w:hAnsi="Arial" w:cs="Arial"/>
                <w:sz w:val="24"/>
                <w:szCs w:val="24"/>
              </w:rPr>
              <w:t>.</w:t>
            </w:r>
          </w:p>
          <w:p w14:paraId="6A0DE6DD" w14:textId="28B6622B" w:rsidR="00665C3F" w:rsidRPr="0084402E" w:rsidRDefault="00665C3F" w:rsidP="00665C3F">
            <w:pPr>
              <w:spacing w:after="0" w:line="240" w:lineRule="auto"/>
              <w:jc w:val="both"/>
              <w:rPr>
                <w:rFonts w:ascii="Arial" w:eastAsiaTheme="minorEastAsia" w:hAnsi="Arial" w:cs="Arial"/>
                <w:sz w:val="24"/>
                <w:szCs w:val="24"/>
              </w:rPr>
            </w:pPr>
            <w:r w:rsidRPr="0084402E">
              <w:rPr>
                <w:rFonts w:ascii="Arial" w:eastAsiaTheme="minorEastAsia" w:hAnsi="Arial" w:cs="Arial"/>
                <w:sz w:val="24"/>
                <w:szCs w:val="24"/>
              </w:rPr>
              <w:t>Tema 01: Educación Básica</w:t>
            </w:r>
            <w:r w:rsidR="000D1CA7" w:rsidRPr="0084402E">
              <w:rPr>
                <w:rFonts w:ascii="Arial" w:eastAsiaTheme="minorEastAsia" w:hAnsi="Arial" w:cs="Arial"/>
                <w:sz w:val="24"/>
                <w:szCs w:val="24"/>
              </w:rPr>
              <w:t>.</w:t>
            </w:r>
          </w:p>
          <w:p w14:paraId="325E99D5" w14:textId="77E0D56C" w:rsidR="00C671F3" w:rsidRPr="0084402E" w:rsidRDefault="00665C3F" w:rsidP="00665C3F">
            <w:pPr>
              <w:spacing w:after="0" w:line="240" w:lineRule="auto"/>
              <w:jc w:val="both"/>
              <w:rPr>
                <w:rFonts w:ascii="Arial" w:eastAsiaTheme="minorEastAsia" w:hAnsi="Arial" w:cs="Arial"/>
                <w:sz w:val="24"/>
                <w:szCs w:val="24"/>
              </w:rPr>
            </w:pPr>
            <w:r w:rsidRPr="0084402E">
              <w:rPr>
                <w:rFonts w:ascii="Arial" w:eastAsiaTheme="minorEastAsia" w:hAnsi="Arial" w:cs="Arial"/>
                <w:sz w:val="24"/>
                <w:szCs w:val="24"/>
              </w:rPr>
              <w:t xml:space="preserve">Objetivo 01: Disminuir el rezago educativo en el estado </w:t>
            </w:r>
            <w:r w:rsidR="000D1CA7" w:rsidRPr="0084402E">
              <w:rPr>
                <w:rFonts w:ascii="Arial" w:eastAsiaTheme="minorEastAsia" w:hAnsi="Arial" w:cs="Arial"/>
                <w:sz w:val="24"/>
                <w:szCs w:val="24"/>
              </w:rPr>
              <w:t>.</w:t>
            </w:r>
          </w:p>
        </w:tc>
      </w:tr>
      <w:tr w:rsidR="00C671F3" w:rsidRPr="0084402E" w14:paraId="371496B9" w14:textId="77777777" w:rsidTr="00E63324">
        <w:tc>
          <w:tcPr>
            <w:tcW w:w="0" w:type="auto"/>
            <w:vAlign w:val="center"/>
          </w:tcPr>
          <w:p w14:paraId="29001175" w14:textId="77777777" w:rsidR="00C671F3" w:rsidRPr="0084402E" w:rsidRDefault="00665C3F" w:rsidP="004C0514">
            <w:pPr>
              <w:spacing w:after="100" w:afterAutospacing="1" w:line="360" w:lineRule="auto"/>
              <w:jc w:val="both"/>
              <w:rPr>
                <w:rFonts w:ascii="Arial" w:eastAsiaTheme="minorEastAsia" w:hAnsi="Arial" w:cs="Arial"/>
                <w:b/>
                <w:sz w:val="24"/>
                <w:szCs w:val="24"/>
              </w:rPr>
            </w:pPr>
            <w:r w:rsidRPr="0084402E">
              <w:rPr>
                <w:rFonts w:ascii="Arial" w:eastAsiaTheme="minorEastAsia" w:hAnsi="Arial" w:cs="Arial"/>
                <w:b/>
                <w:sz w:val="24"/>
                <w:szCs w:val="24"/>
              </w:rPr>
              <w:t>4.4</w:t>
            </w:r>
            <w:r w:rsidR="00C671F3" w:rsidRPr="0084402E">
              <w:rPr>
                <w:rFonts w:ascii="Arial" w:eastAsiaTheme="minorEastAsia" w:hAnsi="Arial" w:cs="Arial"/>
                <w:b/>
                <w:sz w:val="24"/>
                <w:szCs w:val="24"/>
              </w:rPr>
              <w:t>.</w:t>
            </w:r>
          </w:p>
        </w:tc>
        <w:tc>
          <w:tcPr>
            <w:tcW w:w="0" w:type="auto"/>
          </w:tcPr>
          <w:p w14:paraId="02AA88E7" w14:textId="6A8E1511" w:rsidR="00C671F3" w:rsidRPr="0084402E" w:rsidRDefault="00C671F3" w:rsidP="0015449B">
            <w:pPr>
              <w:spacing w:after="0" w:line="240" w:lineRule="auto"/>
              <w:jc w:val="both"/>
              <w:rPr>
                <w:rFonts w:ascii="Arial" w:eastAsiaTheme="minorEastAsia" w:hAnsi="Arial" w:cs="Arial"/>
                <w:sz w:val="24"/>
                <w:szCs w:val="24"/>
              </w:rPr>
            </w:pPr>
            <w:r w:rsidRPr="0084402E">
              <w:rPr>
                <w:rFonts w:ascii="Arial" w:eastAsiaTheme="minorEastAsia" w:hAnsi="Arial" w:cs="Arial"/>
                <w:sz w:val="24"/>
                <w:szCs w:val="24"/>
              </w:rPr>
              <w:t>Cont</w:t>
            </w:r>
            <w:r w:rsidR="00943F47" w:rsidRPr="0084402E">
              <w:rPr>
                <w:rFonts w:ascii="Arial" w:eastAsiaTheme="minorEastAsia" w:hAnsi="Arial" w:cs="Arial"/>
                <w:sz w:val="24"/>
                <w:szCs w:val="24"/>
              </w:rPr>
              <w:t>ribución al Programa Sectorial de Educación de Calidad 2013-2018</w:t>
            </w:r>
            <w:r w:rsidR="000D1CA7" w:rsidRPr="0084402E">
              <w:rPr>
                <w:rFonts w:ascii="Arial" w:eastAsiaTheme="minorEastAsia" w:hAnsi="Arial" w:cs="Arial"/>
                <w:sz w:val="24"/>
                <w:szCs w:val="24"/>
              </w:rPr>
              <w:t>:</w:t>
            </w:r>
          </w:p>
          <w:p w14:paraId="6352BFC3" w14:textId="77777777" w:rsidR="0015449B" w:rsidRPr="0084402E" w:rsidRDefault="0015449B" w:rsidP="0015449B">
            <w:pPr>
              <w:spacing w:after="0" w:line="240" w:lineRule="auto"/>
              <w:jc w:val="both"/>
              <w:rPr>
                <w:rFonts w:ascii="Arial" w:eastAsiaTheme="minorEastAsia" w:hAnsi="Arial" w:cs="Arial"/>
                <w:sz w:val="24"/>
                <w:szCs w:val="24"/>
              </w:rPr>
            </w:pPr>
          </w:p>
          <w:p w14:paraId="78937E5F" w14:textId="77777777" w:rsidR="0015449B" w:rsidRPr="0084402E" w:rsidRDefault="0015449B" w:rsidP="0015449B">
            <w:pPr>
              <w:spacing w:after="0" w:line="240" w:lineRule="auto"/>
              <w:jc w:val="both"/>
              <w:rPr>
                <w:rFonts w:ascii="Arial" w:eastAsiaTheme="minorEastAsia" w:hAnsi="Arial" w:cs="Arial"/>
                <w:sz w:val="24"/>
                <w:szCs w:val="24"/>
              </w:rPr>
            </w:pPr>
            <w:r w:rsidRPr="0084402E">
              <w:rPr>
                <w:rFonts w:ascii="Arial" w:eastAsiaTheme="minorEastAsia" w:hAnsi="Arial" w:cs="Arial"/>
                <w:sz w:val="24"/>
                <w:szCs w:val="24"/>
              </w:rPr>
              <w:t>Tema 03: Eficiencia Terminal</w:t>
            </w:r>
          </w:p>
          <w:p w14:paraId="4D63EDE2" w14:textId="77777777" w:rsidR="0015449B" w:rsidRPr="0084402E" w:rsidRDefault="0015449B" w:rsidP="0015449B">
            <w:pPr>
              <w:spacing w:after="0" w:line="240" w:lineRule="auto"/>
              <w:jc w:val="both"/>
              <w:rPr>
                <w:rFonts w:ascii="Arial" w:eastAsiaTheme="minorEastAsia" w:hAnsi="Arial" w:cs="Arial"/>
                <w:sz w:val="24"/>
                <w:szCs w:val="24"/>
              </w:rPr>
            </w:pPr>
            <w:r w:rsidRPr="0084402E">
              <w:rPr>
                <w:rFonts w:ascii="Arial" w:eastAsiaTheme="minorEastAsia" w:hAnsi="Arial" w:cs="Arial"/>
                <w:sz w:val="24"/>
                <w:szCs w:val="24"/>
              </w:rPr>
              <w:t>Objetivo 1: Disminuir el rezago educativo en el estado.</w:t>
            </w:r>
          </w:p>
          <w:p w14:paraId="0DA9DC2F" w14:textId="77777777" w:rsidR="0015449B" w:rsidRPr="0084402E" w:rsidRDefault="0015449B" w:rsidP="0015449B">
            <w:pPr>
              <w:spacing w:after="0" w:line="240" w:lineRule="auto"/>
              <w:jc w:val="both"/>
              <w:rPr>
                <w:rFonts w:ascii="Arial" w:eastAsiaTheme="minorEastAsia" w:hAnsi="Arial" w:cs="Arial"/>
                <w:sz w:val="24"/>
                <w:szCs w:val="24"/>
              </w:rPr>
            </w:pPr>
            <w:r w:rsidRPr="0084402E">
              <w:rPr>
                <w:rFonts w:ascii="Arial" w:eastAsiaTheme="minorEastAsia" w:hAnsi="Arial" w:cs="Arial"/>
                <w:sz w:val="24"/>
                <w:szCs w:val="24"/>
              </w:rPr>
              <w:t>Estrategia 1: Ofrecer servicios educativos a la población de 15 años o más en situación de rezago.</w:t>
            </w:r>
          </w:p>
          <w:p w14:paraId="4870ABD3" w14:textId="77777777" w:rsidR="0015449B" w:rsidRPr="0084402E" w:rsidRDefault="0015449B" w:rsidP="0015449B">
            <w:pPr>
              <w:spacing w:after="0" w:line="240" w:lineRule="auto"/>
              <w:jc w:val="both"/>
              <w:rPr>
                <w:rFonts w:ascii="Arial" w:eastAsiaTheme="minorEastAsia" w:hAnsi="Arial" w:cs="Arial"/>
                <w:sz w:val="24"/>
                <w:szCs w:val="24"/>
              </w:rPr>
            </w:pPr>
            <w:r w:rsidRPr="0084402E">
              <w:rPr>
                <w:rFonts w:ascii="Arial" w:eastAsiaTheme="minorEastAsia" w:hAnsi="Arial" w:cs="Arial"/>
                <w:sz w:val="24"/>
                <w:szCs w:val="24"/>
              </w:rPr>
              <w:t>Estrategia 2: Implementar programas que certifiquen competencias básicas.</w:t>
            </w:r>
          </w:p>
          <w:p w14:paraId="257C92B3" w14:textId="77777777" w:rsidR="0015449B" w:rsidRPr="0084402E" w:rsidRDefault="0015449B" w:rsidP="0015449B">
            <w:pPr>
              <w:spacing w:after="0" w:line="240" w:lineRule="auto"/>
              <w:jc w:val="both"/>
              <w:rPr>
                <w:rFonts w:ascii="Arial" w:eastAsiaTheme="minorEastAsia" w:hAnsi="Arial" w:cs="Arial"/>
                <w:sz w:val="24"/>
                <w:szCs w:val="24"/>
              </w:rPr>
            </w:pPr>
          </w:p>
        </w:tc>
      </w:tr>
    </w:tbl>
    <w:p w14:paraId="2BE70BCD" w14:textId="5C8EAFEE" w:rsidR="00C671F3" w:rsidRPr="0084402E" w:rsidRDefault="005F4771" w:rsidP="004C0514">
      <w:pPr>
        <w:spacing w:line="360" w:lineRule="auto"/>
        <w:rPr>
          <w:rFonts w:ascii="Arial" w:hAnsi="Arial" w:cs="Arial"/>
          <w:color w:val="FF0000"/>
          <w:sz w:val="24"/>
          <w:szCs w:val="24"/>
        </w:rPr>
      </w:pPr>
      <w:bookmarkStart w:id="2" w:name="_Toc417305154"/>
      <w:bookmarkStart w:id="3" w:name="_Toc417393245"/>
      <w:r w:rsidRPr="005F4771">
        <w:rPr>
          <w:rFonts w:ascii="Arial" w:eastAsia="Times New Roman" w:hAnsi="Arial" w:cs="Arial"/>
          <w:b/>
          <w:color w:val="000000"/>
          <w:sz w:val="20"/>
          <w:szCs w:val="24"/>
          <w:lang w:eastAsia="es-MX"/>
        </w:rPr>
        <w:t>F</w:t>
      </w:r>
      <w:r>
        <w:rPr>
          <w:rFonts w:ascii="Arial" w:eastAsia="Times New Roman" w:hAnsi="Arial" w:cs="Arial"/>
          <w:b/>
          <w:color w:val="000000"/>
          <w:sz w:val="20"/>
          <w:szCs w:val="24"/>
          <w:lang w:eastAsia="es-MX"/>
        </w:rPr>
        <w:t>uente: INDETEC</w:t>
      </w:r>
    </w:p>
    <w:p w14:paraId="59BC9415" w14:textId="77777777" w:rsidR="00B7588B" w:rsidRPr="0084402E" w:rsidRDefault="00B7588B" w:rsidP="004C0514">
      <w:pPr>
        <w:spacing w:after="0" w:line="360" w:lineRule="auto"/>
        <w:rPr>
          <w:rFonts w:ascii="Arial" w:eastAsiaTheme="minorEastAsia" w:hAnsi="Arial" w:cs="Arial"/>
          <w:sz w:val="24"/>
          <w:szCs w:val="24"/>
        </w:rPr>
      </w:pPr>
      <w:r w:rsidRPr="0084402E">
        <w:rPr>
          <w:rFonts w:ascii="Arial" w:eastAsiaTheme="minorEastAsia" w:hAnsi="Arial" w:cs="Arial"/>
          <w:sz w:val="24"/>
          <w:szCs w:val="24"/>
        </w:rPr>
        <w:br w:type="page"/>
      </w:r>
    </w:p>
    <w:p w14:paraId="3289D6F3" w14:textId="77777777" w:rsidR="00C671F3" w:rsidRPr="0084402E" w:rsidRDefault="00C671F3" w:rsidP="00E63324">
      <w:pPr>
        <w:spacing w:after="0" w:line="360" w:lineRule="auto"/>
        <w:ind w:left="284"/>
        <w:jc w:val="both"/>
        <w:rPr>
          <w:rFonts w:ascii="Arial" w:eastAsiaTheme="minorEastAsia" w:hAnsi="Arial" w:cs="Arial"/>
          <w:sz w:val="24"/>
          <w:szCs w:val="24"/>
        </w:rPr>
      </w:pPr>
      <w:r w:rsidRPr="0084402E">
        <w:rPr>
          <w:rFonts w:ascii="Arial" w:eastAsiaTheme="minorEastAsia" w:hAnsi="Arial" w:cs="Arial"/>
          <w:b/>
          <w:sz w:val="24"/>
          <w:szCs w:val="24"/>
        </w:rPr>
        <w:lastRenderedPageBreak/>
        <w:t>5. Exponer y analizar, a través del siguiente cuadro, los Programas Presupuestarios que incluyen entre sus componentes bienes y servicios, cuya fuente de financiamiento es el Fondo evaluado</w:t>
      </w:r>
      <w:r w:rsidRPr="0084402E">
        <w:rPr>
          <w:rFonts w:ascii="Arial" w:eastAsiaTheme="minorEastAsia" w:hAnsi="Arial" w:cs="Arial"/>
          <w:sz w:val="24"/>
          <w:szCs w:val="24"/>
        </w:rPr>
        <w:t>.</w:t>
      </w:r>
    </w:p>
    <w:p w14:paraId="6D0802A3" w14:textId="77777777" w:rsidR="00E63324" w:rsidRPr="0084402E" w:rsidRDefault="00E63324" w:rsidP="00E63324">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RESPUESTA:</w:t>
      </w:r>
    </w:p>
    <w:tbl>
      <w:tblPr>
        <w:tblW w:w="9720" w:type="dxa"/>
        <w:tblInd w:w="53" w:type="dxa"/>
        <w:tblCellMar>
          <w:left w:w="70" w:type="dxa"/>
          <w:right w:w="70" w:type="dxa"/>
        </w:tblCellMar>
        <w:tblLook w:val="04A0" w:firstRow="1" w:lastRow="0" w:firstColumn="1" w:lastColumn="0" w:noHBand="0" w:noVBand="1"/>
      </w:tblPr>
      <w:tblGrid>
        <w:gridCol w:w="2440"/>
        <w:gridCol w:w="4140"/>
        <w:gridCol w:w="3140"/>
      </w:tblGrid>
      <w:tr w:rsidR="0096437F" w:rsidRPr="0084402E" w14:paraId="08FD41BE" w14:textId="77777777" w:rsidTr="0096437F">
        <w:trPr>
          <w:trHeight w:val="315"/>
        </w:trPr>
        <w:tc>
          <w:tcPr>
            <w:tcW w:w="9720" w:type="dxa"/>
            <w:gridSpan w:val="3"/>
            <w:tcBorders>
              <w:top w:val="single" w:sz="8" w:space="0" w:color="auto"/>
              <w:left w:val="single" w:sz="8" w:space="0" w:color="auto"/>
              <w:bottom w:val="single" w:sz="8" w:space="0" w:color="auto"/>
              <w:right w:val="single" w:sz="8" w:space="0" w:color="000000"/>
            </w:tcBorders>
            <w:shd w:val="clear" w:color="000000" w:fill="7F7F7F"/>
            <w:hideMark/>
          </w:tcPr>
          <w:bookmarkEnd w:id="2"/>
          <w:bookmarkEnd w:id="3"/>
          <w:p w14:paraId="675A29AA" w14:textId="77777777" w:rsidR="0096437F" w:rsidRPr="0084402E" w:rsidRDefault="009A33DE" w:rsidP="0096437F">
            <w:pPr>
              <w:spacing w:after="0" w:line="240" w:lineRule="auto"/>
              <w:jc w:val="center"/>
              <w:rPr>
                <w:rFonts w:ascii="Arial" w:eastAsia="Times New Roman" w:hAnsi="Arial" w:cs="Arial"/>
                <w:b/>
                <w:bCs/>
                <w:i/>
                <w:iCs/>
                <w:color w:val="FFFFFF"/>
                <w:sz w:val="24"/>
                <w:szCs w:val="24"/>
                <w:lang w:eastAsia="es-MX"/>
              </w:rPr>
            </w:pPr>
            <w:r w:rsidRPr="0084402E">
              <w:rPr>
                <w:rFonts w:ascii="Arial" w:eastAsia="Times New Roman" w:hAnsi="Arial" w:cs="Arial"/>
                <w:b/>
                <w:bCs/>
                <w:i/>
                <w:iCs/>
                <w:color w:val="FFFFFF"/>
                <w:sz w:val="24"/>
                <w:szCs w:val="24"/>
                <w:lang w:eastAsia="es-MX"/>
              </w:rPr>
              <w:t xml:space="preserve">Tabla No. 4 </w:t>
            </w:r>
            <w:r w:rsidR="0043492F" w:rsidRPr="0084402E">
              <w:rPr>
                <w:rFonts w:ascii="Arial" w:eastAsia="Times New Roman" w:hAnsi="Arial" w:cs="Arial"/>
                <w:b/>
                <w:bCs/>
                <w:i/>
                <w:iCs/>
                <w:color w:val="FFFFFF"/>
                <w:sz w:val="24"/>
                <w:szCs w:val="24"/>
                <w:lang w:eastAsia="es-MX"/>
              </w:rPr>
              <w:t xml:space="preserve"> Programas Presupuestarios y Fuente de Financiamiento</w:t>
            </w:r>
          </w:p>
        </w:tc>
      </w:tr>
      <w:tr w:rsidR="0096437F" w:rsidRPr="0084402E" w14:paraId="391E957F" w14:textId="77777777" w:rsidTr="0096437F">
        <w:trPr>
          <w:trHeight w:val="630"/>
        </w:trPr>
        <w:tc>
          <w:tcPr>
            <w:tcW w:w="2440" w:type="dxa"/>
            <w:tcBorders>
              <w:top w:val="nil"/>
              <w:left w:val="single" w:sz="8" w:space="0" w:color="auto"/>
              <w:bottom w:val="single" w:sz="8" w:space="0" w:color="auto"/>
              <w:right w:val="single" w:sz="8" w:space="0" w:color="auto"/>
            </w:tcBorders>
            <w:shd w:val="clear" w:color="000000" w:fill="F2F2F2"/>
            <w:hideMark/>
          </w:tcPr>
          <w:p w14:paraId="76CFC779" w14:textId="77777777" w:rsidR="0096437F" w:rsidRPr="0084402E" w:rsidRDefault="0096437F" w:rsidP="0096437F">
            <w:pPr>
              <w:spacing w:after="0" w:line="240" w:lineRule="auto"/>
              <w:jc w:val="center"/>
              <w:rPr>
                <w:rFonts w:ascii="Arial" w:eastAsia="Times New Roman" w:hAnsi="Arial" w:cs="Arial"/>
                <w:b/>
                <w:bCs/>
                <w:color w:val="000000"/>
                <w:sz w:val="24"/>
                <w:szCs w:val="24"/>
                <w:lang w:eastAsia="es-MX"/>
              </w:rPr>
            </w:pPr>
            <w:r w:rsidRPr="0084402E">
              <w:rPr>
                <w:rFonts w:ascii="Arial" w:eastAsia="Times New Roman" w:hAnsi="Arial" w:cs="Arial"/>
                <w:b/>
                <w:bCs/>
                <w:color w:val="000000"/>
                <w:sz w:val="24"/>
                <w:szCs w:val="24"/>
                <w:lang w:eastAsia="es-MX"/>
              </w:rPr>
              <w:t>Nombre del Programa Presupuestario</w:t>
            </w:r>
          </w:p>
        </w:tc>
        <w:tc>
          <w:tcPr>
            <w:tcW w:w="4140" w:type="dxa"/>
            <w:tcBorders>
              <w:top w:val="nil"/>
              <w:left w:val="nil"/>
              <w:bottom w:val="single" w:sz="8" w:space="0" w:color="auto"/>
              <w:right w:val="single" w:sz="8" w:space="0" w:color="auto"/>
            </w:tcBorders>
            <w:shd w:val="clear" w:color="000000" w:fill="F2F2F2"/>
            <w:hideMark/>
          </w:tcPr>
          <w:p w14:paraId="1C2468AB" w14:textId="77777777" w:rsidR="0096437F" w:rsidRPr="0084402E" w:rsidRDefault="0096437F" w:rsidP="0096437F">
            <w:pPr>
              <w:spacing w:after="0" w:line="240" w:lineRule="auto"/>
              <w:jc w:val="center"/>
              <w:rPr>
                <w:rFonts w:ascii="Arial" w:eastAsia="Times New Roman" w:hAnsi="Arial" w:cs="Arial"/>
                <w:b/>
                <w:bCs/>
                <w:color w:val="000000"/>
                <w:sz w:val="24"/>
                <w:szCs w:val="24"/>
                <w:lang w:eastAsia="es-MX"/>
              </w:rPr>
            </w:pPr>
            <w:r w:rsidRPr="0084402E">
              <w:rPr>
                <w:rFonts w:ascii="Arial" w:eastAsia="Times New Roman" w:hAnsi="Arial" w:cs="Arial"/>
                <w:b/>
                <w:bCs/>
                <w:color w:val="000000"/>
                <w:sz w:val="24"/>
                <w:szCs w:val="24"/>
                <w:lang w:eastAsia="es-MX"/>
              </w:rPr>
              <w:t>Bienes y Servicios cuya fuente de financiamiento es el Fondo evaluado</w:t>
            </w:r>
          </w:p>
        </w:tc>
        <w:tc>
          <w:tcPr>
            <w:tcW w:w="3140" w:type="dxa"/>
            <w:tcBorders>
              <w:top w:val="nil"/>
              <w:left w:val="nil"/>
              <w:bottom w:val="single" w:sz="8" w:space="0" w:color="auto"/>
              <w:right w:val="single" w:sz="8" w:space="0" w:color="auto"/>
            </w:tcBorders>
            <w:shd w:val="clear" w:color="000000" w:fill="F2F2F2"/>
            <w:hideMark/>
          </w:tcPr>
          <w:p w14:paraId="3BD01767" w14:textId="77777777" w:rsidR="0096437F" w:rsidRPr="0084402E" w:rsidRDefault="0096437F" w:rsidP="0096437F">
            <w:pPr>
              <w:spacing w:after="0" w:line="240" w:lineRule="auto"/>
              <w:jc w:val="center"/>
              <w:rPr>
                <w:rFonts w:ascii="Arial" w:eastAsia="Times New Roman" w:hAnsi="Arial" w:cs="Arial"/>
                <w:b/>
                <w:bCs/>
                <w:color w:val="000000"/>
                <w:sz w:val="24"/>
                <w:szCs w:val="24"/>
                <w:lang w:eastAsia="es-MX"/>
              </w:rPr>
            </w:pPr>
            <w:r w:rsidRPr="0084402E">
              <w:rPr>
                <w:rFonts w:ascii="Arial" w:eastAsia="Times New Roman" w:hAnsi="Arial" w:cs="Arial"/>
                <w:b/>
                <w:bCs/>
                <w:color w:val="000000"/>
                <w:sz w:val="24"/>
                <w:szCs w:val="24"/>
                <w:lang w:eastAsia="es-MX"/>
              </w:rPr>
              <w:t>Prepuesto asignado al Programa Presupuestario</w:t>
            </w:r>
          </w:p>
        </w:tc>
      </w:tr>
      <w:tr w:rsidR="0096437F" w:rsidRPr="0084402E" w14:paraId="55E93AE3" w14:textId="77777777" w:rsidTr="0096437F">
        <w:trPr>
          <w:trHeight w:val="300"/>
        </w:trPr>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655A0320" w14:textId="77777777" w:rsidR="0096437F" w:rsidRPr="0084402E" w:rsidRDefault="0096437F" w:rsidP="0096437F">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b/>
                <w:bCs/>
                <w:color w:val="000000"/>
                <w:sz w:val="24"/>
                <w:szCs w:val="24"/>
                <w:lang w:eastAsia="es-MX"/>
              </w:rPr>
              <w:t>Rezago Educativo</w:t>
            </w:r>
            <w:r w:rsidRPr="0084402E">
              <w:rPr>
                <w:rFonts w:ascii="Arial" w:eastAsia="Times New Roman" w:hAnsi="Arial" w:cs="Arial"/>
                <w:color w:val="000000"/>
                <w:sz w:val="24"/>
                <w:szCs w:val="24"/>
                <w:lang w:eastAsia="es-MX"/>
              </w:rPr>
              <w:br/>
              <w:t>Tipo: Presupuestario</w:t>
            </w:r>
          </w:p>
        </w:tc>
        <w:tc>
          <w:tcPr>
            <w:tcW w:w="4140" w:type="dxa"/>
            <w:tcBorders>
              <w:top w:val="nil"/>
              <w:left w:val="nil"/>
              <w:bottom w:val="nil"/>
              <w:right w:val="single" w:sz="8" w:space="0" w:color="auto"/>
            </w:tcBorders>
            <w:shd w:val="clear" w:color="auto" w:fill="auto"/>
            <w:hideMark/>
          </w:tcPr>
          <w:p w14:paraId="4936C23C" w14:textId="77777777" w:rsidR="0096437F" w:rsidRPr="0084402E" w:rsidRDefault="0096437F" w:rsidP="0096437F">
            <w:pPr>
              <w:spacing w:after="0" w:line="240" w:lineRule="auto"/>
              <w:jc w:val="both"/>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Servicios de Alfabetización</w:t>
            </w:r>
          </w:p>
        </w:tc>
        <w:tc>
          <w:tcPr>
            <w:tcW w:w="3140" w:type="dxa"/>
            <w:vMerge w:val="restart"/>
            <w:tcBorders>
              <w:top w:val="nil"/>
              <w:left w:val="single" w:sz="8" w:space="0" w:color="auto"/>
              <w:bottom w:val="single" w:sz="8" w:space="0" w:color="000000"/>
              <w:right w:val="single" w:sz="8" w:space="0" w:color="auto"/>
            </w:tcBorders>
            <w:shd w:val="clear" w:color="auto" w:fill="auto"/>
            <w:vAlign w:val="center"/>
            <w:hideMark/>
          </w:tcPr>
          <w:p w14:paraId="54C648F1" w14:textId="77777777" w:rsidR="0096437F" w:rsidRPr="0084402E" w:rsidRDefault="0096437F" w:rsidP="0096437F">
            <w:pPr>
              <w:spacing w:after="0" w:line="240" w:lineRule="auto"/>
              <w:jc w:val="right"/>
              <w:rPr>
                <w:rFonts w:ascii="Arial" w:eastAsia="Times New Roman" w:hAnsi="Arial" w:cs="Arial"/>
                <w:b/>
                <w:bCs/>
                <w:color w:val="000000"/>
                <w:sz w:val="24"/>
                <w:szCs w:val="24"/>
                <w:lang w:eastAsia="es-MX"/>
              </w:rPr>
            </w:pPr>
            <w:r w:rsidRPr="0084402E">
              <w:rPr>
                <w:rFonts w:ascii="Arial" w:eastAsia="Times New Roman" w:hAnsi="Arial" w:cs="Arial"/>
                <w:b/>
                <w:bCs/>
                <w:color w:val="000000"/>
                <w:sz w:val="24"/>
                <w:szCs w:val="24"/>
                <w:lang w:eastAsia="es-MX"/>
              </w:rPr>
              <w:t>70,502,730</w:t>
            </w:r>
          </w:p>
        </w:tc>
      </w:tr>
      <w:tr w:rsidR="0096437F" w:rsidRPr="0084402E" w14:paraId="1DCD5F66" w14:textId="77777777" w:rsidTr="0096437F">
        <w:trPr>
          <w:trHeight w:val="570"/>
        </w:trPr>
        <w:tc>
          <w:tcPr>
            <w:tcW w:w="2440" w:type="dxa"/>
            <w:vMerge/>
            <w:tcBorders>
              <w:top w:val="nil"/>
              <w:left w:val="single" w:sz="8" w:space="0" w:color="auto"/>
              <w:bottom w:val="single" w:sz="8" w:space="0" w:color="000000"/>
              <w:right w:val="single" w:sz="8" w:space="0" w:color="auto"/>
            </w:tcBorders>
            <w:vAlign w:val="center"/>
            <w:hideMark/>
          </w:tcPr>
          <w:p w14:paraId="6F850189" w14:textId="77777777" w:rsidR="0096437F" w:rsidRPr="0084402E" w:rsidRDefault="0096437F" w:rsidP="0096437F">
            <w:pPr>
              <w:spacing w:after="0" w:line="240" w:lineRule="auto"/>
              <w:rPr>
                <w:rFonts w:ascii="Arial" w:eastAsia="Times New Roman" w:hAnsi="Arial" w:cs="Arial"/>
                <w:color w:val="000000"/>
                <w:sz w:val="24"/>
                <w:szCs w:val="24"/>
                <w:lang w:eastAsia="es-MX"/>
              </w:rPr>
            </w:pPr>
          </w:p>
        </w:tc>
        <w:tc>
          <w:tcPr>
            <w:tcW w:w="4140" w:type="dxa"/>
            <w:tcBorders>
              <w:top w:val="nil"/>
              <w:left w:val="nil"/>
              <w:bottom w:val="nil"/>
              <w:right w:val="single" w:sz="8" w:space="0" w:color="auto"/>
            </w:tcBorders>
            <w:shd w:val="clear" w:color="auto" w:fill="auto"/>
            <w:hideMark/>
          </w:tcPr>
          <w:p w14:paraId="5C98D443" w14:textId="77777777" w:rsidR="00F24D3E" w:rsidRPr="0084402E" w:rsidRDefault="00F24D3E" w:rsidP="0096437F">
            <w:pPr>
              <w:spacing w:after="0" w:line="240" w:lineRule="auto"/>
              <w:jc w:val="both"/>
              <w:rPr>
                <w:rFonts w:ascii="Arial" w:eastAsia="Times New Roman" w:hAnsi="Arial" w:cs="Arial"/>
                <w:color w:val="000000"/>
                <w:sz w:val="24"/>
                <w:szCs w:val="24"/>
                <w:lang w:eastAsia="es-MX"/>
              </w:rPr>
            </w:pPr>
          </w:p>
          <w:p w14:paraId="6E13F2F7" w14:textId="3C82EB4D" w:rsidR="0096437F" w:rsidRPr="0084402E" w:rsidRDefault="0096437F" w:rsidP="0096437F">
            <w:pPr>
              <w:spacing w:after="0" w:line="240" w:lineRule="auto"/>
              <w:jc w:val="both"/>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Servicios de educación Primar</w:t>
            </w:r>
            <w:r w:rsidR="00DE616D">
              <w:rPr>
                <w:rFonts w:ascii="Arial" w:eastAsia="Times New Roman" w:hAnsi="Arial" w:cs="Arial"/>
                <w:color w:val="000000"/>
                <w:sz w:val="24"/>
                <w:szCs w:val="24"/>
                <w:lang w:eastAsia="es-MX"/>
              </w:rPr>
              <w:t>i</w:t>
            </w:r>
            <w:r w:rsidRPr="0084402E">
              <w:rPr>
                <w:rFonts w:ascii="Arial" w:eastAsia="Times New Roman" w:hAnsi="Arial" w:cs="Arial"/>
                <w:color w:val="000000"/>
                <w:sz w:val="24"/>
                <w:szCs w:val="24"/>
                <w:lang w:eastAsia="es-MX"/>
              </w:rPr>
              <w:t>a y Secundaria</w:t>
            </w:r>
          </w:p>
        </w:tc>
        <w:tc>
          <w:tcPr>
            <w:tcW w:w="3140" w:type="dxa"/>
            <w:vMerge/>
            <w:tcBorders>
              <w:top w:val="nil"/>
              <w:left w:val="single" w:sz="8" w:space="0" w:color="auto"/>
              <w:bottom w:val="single" w:sz="8" w:space="0" w:color="000000"/>
              <w:right w:val="single" w:sz="8" w:space="0" w:color="auto"/>
            </w:tcBorders>
            <w:vAlign w:val="center"/>
            <w:hideMark/>
          </w:tcPr>
          <w:p w14:paraId="0E5CEBC3" w14:textId="77777777" w:rsidR="0096437F" w:rsidRPr="0084402E" w:rsidRDefault="0096437F" w:rsidP="0096437F">
            <w:pPr>
              <w:spacing w:after="0" w:line="240" w:lineRule="auto"/>
              <w:rPr>
                <w:rFonts w:ascii="Arial" w:eastAsia="Times New Roman" w:hAnsi="Arial" w:cs="Arial"/>
                <w:b/>
                <w:bCs/>
                <w:color w:val="000000"/>
                <w:sz w:val="24"/>
                <w:szCs w:val="24"/>
                <w:lang w:eastAsia="es-MX"/>
              </w:rPr>
            </w:pPr>
          </w:p>
        </w:tc>
      </w:tr>
      <w:tr w:rsidR="0096437F" w:rsidRPr="0084402E" w14:paraId="331C9FD0" w14:textId="77777777" w:rsidTr="0096437F">
        <w:trPr>
          <w:trHeight w:val="870"/>
        </w:trPr>
        <w:tc>
          <w:tcPr>
            <w:tcW w:w="2440" w:type="dxa"/>
            <w:vMerge/>
            <w:tcBorders>
              <w:top w:val="nil"/>
              <w:left w:val="single" w:sz="8" w:space="0" w:color="auto"/>
              <w:bottom w:val="single" w:sz="8" w:space="0" w:color="000000"/>
              <w:right w:val="single" w:sz="8" w:space="0" w:color="auto"/>
            </w:tcBorders>
            <w:vAlign w:val="center"/>
            <w:hideMark/>
          </w:tcPr>
          <w:p w14:paraId="6AD19170" w14:textId="77777777" w:rsidR="0096437F" w:rsidRPr="0084402E" w:rsidRDefault="0096437F" w:rsidP="0096437F">
            <w:pPr>
              <w:spacing w:after="0" w:line="240" w:lineRule="auto"/>
              <w:rPr>
                <w:rFonts w:ascii="Arial" w:eastAsia="Times New Roman" w:hAnsi="Arial" w:cs="Arial"/>
                <w:color w:val="000000"/>
                <w:sz w:val="24"/>
                <w:szCs w:val="24"/>
                <w:lang w:eastAsia="es-MX"/>
              </w:rPr>
            </w:pPr>
          </w:p>
        </w:tc>
        <w:tc>
          <w:tcPr>
            <w:tcW w:w="4140" w:type="dxa"/>
            <w:tcBorders>
              <w:top w:val="nil"/>
              <w:left w:val="nil"/>
              <w:bottom w:val="single" w:sz="8" w:space="0" w:color="auto"/>
              <w:right w:val="single" w:sz="8" w:space="0" w:color="auto"/>
            </w:tcBorders>
            <w:shd w:val="clear" w:color="auto" w:fill="auto"/>
            <w:hideMark/>
          </w:tcPr>
          <w:p w14:paraId="04C5572C" w14:textId="77777777" w:rsidR="00F24D3E" w:rsidRPr="0084402E" w:rsidRDefault="00F24D3E" w:rsidP="0096437F">
            <w:pPr>
              <w:spacing w:after="0" w:line="240" w:lineRule="auto"/>
              <w:jc w:val="both"/>
              <w:rPr>
                <w:rFonts w:ascii="Arial" w:eastAsia="Times New Roman" w:hAnsi="Arial" w:cs="Arial"/>
                <w:color w:val="000000"/>
                <w:sz w:val="24"/>
                <w:szCs w:val="24"/>
                <w:lang w:eastAsia="es-MX"/>
              </w:rPr>
            </w:pPr>
          </w:p>
          <w:p w14:paraId="21ADF29A" w14:textId="77777777" w:rsidR="0096437F" w:rsidRPr="0084402E" w:rsidRDefault="0096437F" w:rsidP="0096437F">
            <w:pPr>
              <w:spacing w:after="0" w:line="240" w:lineRule="auto"/>
              <w:jc w:val="both"/>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Servicios de Certificación de Conocimientos de educación Primaria y Secundaria</w:t>
            </w:r>
          </w:p>
        </w:tc>
        <w:tc>
          <w:tcPr>
            <w:tcW w:w="3140" w:type="dxa"/>
            <w:vMerge/>
            <w:tcBorders>
              <w:top w:val="nil"/>
              <w:left w:val="single" w:sz="8" w:space="0" w:color="auto"/>
              <w:bottom w:val="single" w:sz="8" w:space="0" w:color="000000"/>
              <w:right w:val="single" w:sz="8" w:space="0" w:color="auto"/>
            </w:tcBorders>
            <w:vAlign w:val="center"/>
            <w:hideMark/>
          </w:tcPr>
          <w:p w14:paraId="2940B997" w14:textId="77777777" w:rsidR="0096437F" w:rsidRPr="0084402E" w:rsidRDefault="0096437F" w:rsidP="0096437F">
            <w:pPr>
              <w:spacing w:after="0" w:line="240" w:lineRule="auto"/>
              <w:rPr>
                <w:rFonts w:ascii="Arial" w:eastAsia="Times New Roman" w:hAnsi="Arial" w:cs="Arial"/>
                <w:b/>
                <w:bCs/>
                <w:color w:val="000000"/>
                <w:sz w:val="24"/>
                <w:szCs w:val="24"/>
                <w:lang w:eastAsia="es-MX"/>
              </w:rPr>
            </w:pPr>
          </w:p>
        </w:tc>
      </w:tr>
      <w:tr w:rsidR="0096437F" w:rsidRPr="0084402E" w14:paraId="6780E2A9" w14:textId="77777777" w:rsidTr="0096437F">
        <w:trPr>
          <w:trHeight w:val="322"/>
        </w:trPr>
        <w:tc>
          <w:tcPr>
            <w:tcW w:w="2440" w:type="dxa"/>
            <w:vMerge w:val="restart"/>
            <w:tcBorders>
              <w:top w:val="nil"/>
              <w:left w:val="single" w:sz="8" w:space="0" w:color="auto"/>
              <w:bottom w:val="single" w:sz="8" w:space="0" w:color="000000"/>
              <w:right w:val="single" w:sz="8" w:space="0" w:color="auto"/>
            </w:tcBorders>
            <w:shd w:val="clear" w:color="auto" w:fill="auto"/>
            <w:vAlign w:val="center"/>
            <w:hideMark/>
          </w:tcPr>
          <w:p w14:paraId="6C2BACC0" w14:textId="77777777" w:rsidR="0096437F" w:rsidRPr="0084402E" w:rsidRDefault="0096437F" w:rsidP="0096437F">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b/>
                <w:bCs/>
                <w:color w:val="000000"/>
                <w:sz w:val="24"/>
                <w:szCs w:val="24"/>
                <w:lang w:eastAsia="es-MX"/>
              </w:rPr>
              <w:t>Gestión del Sistema Educativo</w:t>
            </w:r>
            <w:r w:rsidRPr="0084402E">
              <w:rPr>
                <w:rFonts w:ascii="Arial" w:eastAsia="Times New Roman" w:hAnsi="Arial" w:cs="Arial"/>
                <w:color w:val="000000"/>
                <w:sz w:val="24"/>
                <w:szCs w:val="24"/>
                <w:lang w:eastAsia="es-MX"/>
              </w:rPr>
              <w:br/>
              <w:t>Tipo: Institucional</w:t>
            </w:r>
          </w:p>
        </w:tc>
        <w:tc>
          <w:tcPr>
            <w:tcW w:w="4140" w:type="dxa"/>
            <w:vMerge w:val="restart"/>
            <w:tcBorders>
              <w:top w:val="nil"/>
              <w:left w:val="single" w:sz="8" w:space="0" w:color="auto"/>
              <w:bottom w:val="single" w:sz="8" w:space="0" w:color="000000"/>
              <w:right w:val="single" w:sz="8" w:space="0" w:color="auto"/>
            </w:tcBorders>
            <w:shd w:val="clear" w:color="auto" w:fill="auto"/>
            <w:vAlign w:val="center"/>
            <w:hideMark/>
          </w:tcPr>
          <w:p w14:paraId="628F38CF" w14:textId="77777777" w:rsidR="0096437F" w:rsidRPr="0084402E" w:rsidRDefault="0096437F" w:rsidP="00F24D3E">
            <w:pPr>
              <w:spacing w:after="0" w:line="240" w:lineRule="auto"/>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Servicios Administrativos  y pago de Servicios Básicos</w:t>
            </w:r>
          </w:p>
        </w:tc>
        <w:tc>
          <w:tcPr>
            <w:tcW w:w="3140" w:type="dxa"/>
            <w:vMerge w:val="restart"/>
            <w:tcBorders>
              <w:top w:val="nil"/>
              <w:left w:val="single" w:sz="8" w:space="0" w:color="auto"/>
              <w:bottom w:val="single" w:sz="8" w:space="0" w:color="000000"/>
              <w:right w:val="single" w:sz="8" w:space="0" w:color="auto"/>
            </w:tcBorders>
            <w:shd w:val="clear" w:color="auto" w:fill="auto"/>
            <w:vAlign w:val="center"/>
            <w:hideMark/>
          </w:tcPr>
          <w:p w14:paraId="2B834F2B" w14:textId="77777777" w:rsidR="0096437F" w:rsidRPr="0084402E" w:rsidRDefault="0096437F" w:rsidP="0096437F">
            <w:pPr>
              <w:spacing w:after="0" w:line="240" w:lineRule="auto"/>
              <w:jc w:val="right"/>
              <w:rPr>
                <w:rFonts w:ascii="Arial" w:eastAsia="Times New Roman" w:hAnsi="Arial" w:cs="Arial"/>
                <w:b/>
                <w:bCs/>
                <w:color w:val="000000"/>
                <w:sz w:val="24"/>
                <w:szCs w:val="24"/>
                <w:lang w:eastAsia="es-MX"/>
              </w:rPr>
            </w:pPr>
            <w:r w:rsidRPr="0084402E">
              <w:rPr>
                <w:rFonts w:ascii="Arial" w:eastAsia="Times New Roman" w:hAnsi="Arial" w:cs="Arial"/>
                <w:b/>
                <w:bCs/>
                <w:color w:val="000000"/>
                <w:sz w:val="24"/>
                <w:szCs w:val="24"/>
                <w:lang w:eastAsia="es-MX"/>
              </w:rPr>
              <w:t>19,595,734</w:t>
            </w:r>
          </w:p>
        </w:tc>
      </w:tr>
      <w:tr w:rsidR="0096437F" w:rsidRPr="0084402E" w14:paraId="05AD6924" w14:textId="77777777" w:rsidTr="0096437F">
        <w:trPr>
          <w:trHeight w:val="322"/>
        </w:trPr>
        <w:tc>
          <w:tcPr>
            <w:tcW w:w="2440" w:type="dxa"/>
            <w:vMerge/>
            <w:tcBorders>
              <w:top w:val="nil"/>
              <w:left w:val="single" w:sz="8" w:space="0" w:color="auto"/>
              <w:bottom w:val="single" w:sz="8" w:space="0" w:color="000000"/>
              <w:right w:val="single" w:sz="8" w:space="0" w:color="auto"/>
            </w:tcBorders>
            <w:vAlign w:val="center"/>
            <w:hideMark/>
          </w:tcPr>
          <w:p w14:paraId="56845685" w14:textId="77777777" w:rsidR="0096437F" w:rsidRPr="0084402E" w:rsidRDefault="0096437F" w:rsidP="0096437F">
            <w:pPr>
              <w:spacing w:after="0" w:line="240" w:lineRule="auto"/>
              <w:rPr>
                <w:rFonts w:ascii="Arial" w:eastAsia="Times New Roman" w:hAnsi="Arial" w:cs="Arial"/>
                <w:color w:val="000000"/>
                <w:sz w:val="24"/>
                <w:szCs w:val="24"/>
                <w:lang w:eastAsia="es-MX"/>
              </w:rPr>
            </w:pPr>
          </w:p>
        </w:tc>
        <w:tc>
          <w:tcPr>
            <w:tcW w:w="4140" w:type="dxa"/>
            <w:vMerge/>
            <w:tcBorders>
              <w:top w:val="nil"/>
              <w:left w:val="single" w:sz="8" w:space="0" w:color="auto"/>
              <w:bottom w:val="single" w:sz="8" w:space="0" w:color="000000"/>
              <w:right w:val="single" w:sz="8" w:space="0" w:color="auto"/>
            </w:tcBorders>
            <w:vAlign w:val="center"/>
            <w:hideMark/>
          </w:tcPr>
          <w:p w14:paraId="2DF80016" w14:textId="77777777" w:rsidR="0096437F" w:rsidRPr="0084402E" w:rsidRDefault="0096437F" w:rsidP="0096437F">
            <w:pPr>
              <w:spacing w:after="0" w:line="240" w:lineRule="auto"/>
              <w:rPr>
                <w:rFonts w:ascii="Arial" w:eastAsia="Times New Roman" w:hAnsi="Arial" w:cs="Arial"/>
                <w:color w:val="000000"/>
                <w:sz w:val="24"/>
                <w:szCs w:val="24"/>
                <w:lang w:eastAsia="es-MX"/>
              </w:rPr>
            </w:pPr>
          </w:p>
        </w:tc>
        <w:tc>
          <w:tcPr>
            <w:tcW w:w="3140" w:type="dxa"/>
            <w:vMerge/>
            <w:tcBorders>
              <w:top w:val="nil"/>
              <w:left w:val="single" w:sz="8" w:space="0" w:color="auto"/>
              <w:bottom w:val="single" w:sz="8" w:space="0" w:color="000000"/>
              <w:right w:val="single" w:sz="8" w:space="0" w:color="auto"/>
            </w:tcBorders>
            <w:vAlign w:val="center"/>
            <w:hideMark/>
          </w:tcPr>
          <w:p w14:paraId="1E2828AE" w14:textId="77777777" w:rsidR="0096437F" w:rsidRPr="0084402E" w:rsidRDefault="0096437F" w:rsidP="0096437F">
            <w:pPr>
              <w:spacing w:after="0" w:line="240" w:lineRule="auto"/>
              <w:rPr>
                <w:rFonts w:ascii="Arial" w:eastAsia="Times New Roman" w:hAnsi="Arial" w:cs="Arial"/>
                <w:b/>
                <w:bCs/>
                <w:color w:val="000000"/>
                <w:sz w:val="24"/>
                <w:szCs w:val="24"/>
                <w:lang w:eastAsia="es-MX"/>
              </w:rPr>
            </w:pPr>
          </w:p>
        </w:tc>
      </w:tr>
      <w:tr w:rsidR="0096437F" w:rsidRPr="0084402E" w14:paraId="4F4355B7" w14:textId="77777777" w:rsidTr="0096437F">
        <w:trPr>
          <w:trHeight w:val="322"/>
        </w:trPr>
        <w:tc>
          <w:tcPr>
            <w:tcW w:w="2440" w:type="dxa"/>
            <w:vMerge/>
            <w:tcBorders>
              <w:top w:val="nil"/>
              <w:left w:val="single" w:sz="8" w:space="0" w:color="auto"/>
              <w:bottom w:val="single" w:sz="8" w:space="0" w:color="000000"/>
              <w:right w:val="single" w:sz="8" w:space="0" w:color="auto"/>
            </w:tcBorders>
            <w:vAlign w:val="center"/>
            <w:hideMark/>
          </w:tcPr>
          <w:p w14:paraId="68A739F5" w14:textId="77777777" w:rsidR="0096437F" w:rsidRPr="0084402E" w:rsidRDefault="0096437F" w:rsidP="0096437F">
            <w:pPr>
              <w:spacing w:after="0" w:line="240" w:lineRule="auto"/>
              <w:rPr>
                <w:rFonts w:ascii="Arial" w:eastAsia="Times New Roman" w:hAnsi="Arial" w:cs="Arial"/>
                <w:color w:val="000000"/>
                <w:sz w:val="24"/>
                <w:szCs w:val="24"/>
                <w:lang w:eastAsia="es-MX"/>
              </w:rPr>
            </w:pPr>
          </w:p>
        </w:tc>
        <w:tc>
          <w:tcPr>
            <w:tcW w:w="4140" w:type="dxa"/>
            <w:vMerge/>
            <w:tcBorders>
              <w:top w:val="nil"/>
              <w:left w:val="single" w:sz="8" w:space="0" w:color="auto"/>
              <w:bottom w:val="single" w:sz="8" w:space="0" w:color="000000"/>
              <w:right w:val="single" w:sz="8" w:space="0" w:color="auto"/>
            </w:tcBorders>
            <w:vAlign w:val="center"/>
            <w:hideMark/>
          </w:tcPr>
          <w:p w14:paraId="72674876" w14:textId="77777777" w:rsidR="0096437F" w:rsidRPr="0084402E" w:rsidRDefault="0096437F" w:rsidP="0096437F">
            <w:pPr>
              <w:spacing w:after="0" w:line="240" w:lineRule="auto"/>
              <w:rPr>
                <w:rFonts w:ascii="Arial" w:eastAsia="Times New Roman" w:hAnsi="Arial" w:cs="Arial"/>
                <w:color w:val="000000"/>
                <w:sz w:val="24"/>
                <w:szCs w:val="24"/>
                <w:lang w:eastAsia="es-MX"/>
              </w:rPr>
            </w:pPr>
          </w:p>
        </w:tc>
        <w:tc>
          <w:tcPr>
            <w:tcW w:w="3140" w:type="dxa"/>
            <w:vMerge/>
            <w:tcBorders>
              <w:top w:val="nil"/>
              <w:left w:val="single" w:sz="8" w:space="0" w:color="auto"/>
              <w:bottom w:val="single" w:sz="8" w:space="0" w:color="000000"/>
              <w:right w:val="single" w:sz="8" w:space="0" w:color="auto"/>
            </w:tcBorders>
            <w:vAlign w:val="center"/>
            <w:hideMark/>
          </w:tcPr>
          <w:p w14:paraId="7F53DC9C" w14:textId="77777777" w:rsidR="0096437F" w:rsidRPr="0084402E" w:rsidRDefault="0096437F" w:rsidP="0096437F">
            <w:pPr>
              <w:spacing w:after="0" w:line="240" w:lineRule="auto"/>
              <w:rPr>
                <w:rFonts w:ascii="Arial" w:eastAsia="Times New Roman" w:hAnsi="Arial" w:cs="Arial"/>
                <w:b/>
                <w:bCs/>
                <w:color w:val="000000"/>
                <w:sz w:val="24"/>
                <w:szCs w:val="24"/>
                <w:lang w:eastAsia="es-MX"/>
              </w:rPr>
            </w:pPr>
          </w:p>
        </w:tc>
      </w:tr>
    </w:tbl>
    <w:p w14:paraId="653C2FDC" w14:textId="4459AD55" w:rsidR="00B7588B" w:rsidRDefault="005F4771" w:rsidP="004C0514">
      <w:pPr>
        <w:spacing w:after="0" w:line="360" w:lineRule="auto"/>
        <w:rPr>
          <w:rFonts w:ascii="Arial" w:eastAsia="Times New Roman" w:hAnsi="Arial" w:cs="Arial"/>
          <w:b/>
          <w:color w:val="000000"/>
          <w:sz w:val="20"/>
          <w:szCs w:val="24"/>
          <w:lang w:eastAsia="es-MX"/>
        </w:rPr>
      </w:pPr>
      <w:r w:rsidRPr="005F4771">
        <w:rPr>
          <w:rFonts w:ascii="Arial" w:eastAsia="Times New Roman" w:hAnsi="Arial" w:cs="Arial"/>
          <w:b/>
          <w:color w:val="000000"/>
          <w:sz w:val="20"/>
          <w:szCs w:val="24"/>
          <w:lang w:eastAsia="es-MX"/>
        </w:rPr>
        <w:t xml:space="preserve">Fuente: INDETEC </w:t>
      </w:r>
    </w:p>
    <w:p w14:paraId="3F5B7975" w14:textId="77777777" w:rsidR="005F4771" w:rsidRPr="0084402E" w:rsidRDefault="005F4771" w:rsidP="004C0514">
      <w:pPr>
        <w:spacing w:after="0" w:line="360" w:lineRule="auto"/>
        <w:rPr>
          <w:rFonts w:ascii="Arial" w:eastAsiaTheme="majorEastAsia" w:hAnsi="Arial" w:cs="Arial"/>
          <w:b/>
          <w:bCs/>
          <w:iCs/>
          <w:sz w:val="24"/>
          <w:szCs w:val="24"/>
        </w:rPr>
      </w:pPr>
    </w:p>
    <w:p w14:paraId="5104F7B8" w14:textId="0EC4911A" w:rsidR="004B2916" w:rsidRPr="0084402E" w:rsidRDefault="00ED728B" w:rsidP="007860F6">
      <w:pPr>
        <w:spacing w:after="0" w:line="360" w:lineRule="auto"/>
        <w:jc w:val="both"/>
        <w:rPr>
          <w:rFonts w:ascii="Arial" w:eastAsiaTheme="majorEastAsia" w:hAnsi="Arial" w:cs="Arial"/>
          <w:bCs/>
          <w:iCs/>
          <w:sz w:val="24"/>
          <w:szCs w:val="24"/>
        </w:rPr>
      </w:pPr>
      <w:r w:rsidRPr="0084402E">
        <w:rPr>
          <w:rFonts w:ascii="Arial" w:eastAsiaTheme="majorEastAsia" w:hAnsi="Arial" w:cs="Arial"/>
          <w:bCs/>
          <w:iCs/>
          <w:sz w:val="24"/>
          <w:szCs w:val="24"/>
        </w:rPr>
        <w:t>La dependencia ejecutora, el IEAEY, explicó que los recursos que complementan los $</w:t>
      </w:r>
      <w:r w:rsidRPr="0084402E">
        <w:rPr>
          <w:rFonts w:ascii="Arial" w:eastAsia="Times New Roman" w:hAnsi="Arial" w:cs="Arial"/>
          <w:color w:val="000000"/>
          <w:sz w:val="24"/>
          <w:szCs w:val="24"/>
          <w:lang w:eastAsia="es-MX"/>
        </w:rPr>
        <w:t xml:space="preserve">63,603,368 de pesos </w:t>
      </w:r>
      <w:r w:rsidR="009A33DE" w:rsidRPr="0084402E">
        <w:rPr>
          <w:rFonts w:ascii="Arial" w:eastAsia="Times New Roman" w:hAnsi="Arial" w:cs="Arial"/>
          <w:color w:val="000000"/>
          <w:sz w:val="24"/>
          <w:szCs w:val="24"/>
          <w:lang w:eastAsia="es-MX"/>
        </w:rPr>
        <w:t>transferidos</w:t>
      </w:r>
      <w:r w:rsidRPr="0084402E">
        <w:rPr>
          <w:rFonts w:ascii="Arial" w:eastAsia="Times New Roman" w:hAnsi="Arial" w:cs="Arial"/>
          <w:color w:val="000000"/>
          <w:sz w:val="24"/>
          <w:szCs w:val="24"/>
          <w:lang w:eastAsia="es-MX"/>
        </w:rPr>
        <w:t xml:space="preserve"> del FA</w:t>
      </w:r>
      <w:r w:rsidR="007860F6" w:rsidRPr="0084402E">
        <w:rPr>
          <w:rFonts w:ascii="Arial" w:eastAsia="Times New Roman" w:hAnsi="Arial" w:cs="Arial"/>
          <w:color w:val="000000"/>
          <w:sz w:val="24"/>
          <w:szCs w:val="24"/>
          <w:lang w:eastAsia="es-MX"/>
        </w:rPr>
        <w:t>ETA son</w:t>
      </w:r>
      <w:r w:rsidR="00FB5052" w:rsidRPr="0084402E">
        <w:rPr>
          <w:rFonts w:ascii="Arial" w:eastAsiaTheme="majorEastAsia" w:hAnsi="Arial" w:cs="Arial"/>
          <w:bCs/>
          <w:iCs/>
          <w:sz w:val="24"/>
          <w:szCs w:val="24"/>
        </w:rPr>
        <w:t xml:space="preserve"> recursos </w:t>
      </w:r>
      <w:r w:rsidR="007860F6" w:rsidRPr="0084402E">
        <w:rPr>
          <w:rFonts w:ascii="Arial" w:eastAsiaTheme="majorEastAsia" w:hAnsi="Arial" w:cs="Arial"/>
          <w:bCs/>
          <w:iCs/>
          <w:sz w:val="24"/>
          <w:szCs w:val="24"/>
        </w:rPr>
        <w:t xml:space="preserve">provenientes </w:t>
      </w:r>
      <w:r w:rsidR="00FB5052" w:rsidRPr="0084402E">
        <w:rPr>
          <w:rFonts w:ascii="Arial" w:eastAsiaTheme="majorEastAsia" w:hAnsi="Arial" w:cs="Arial"/>
          <w:bCs/>
          <w:iCs/>
          <w:sz w:val="24"/>
          <w:szCs w:val="24"/>
        </w:rPr>
        <w:t xml:space="preserve">del </w:t>
      </w:r>
      <w:r w:rsidR="00595086" w:rsidRPr="0084402E">
        <w:rPr>
          <w:rFonts w:ascii="Arial" w:eastAsiaTheme="majorEastAsia" w:hAnsi="Arial" w:cs="Arial"/>
          <w:bCs/>
          <w:iCs/>
          <w:sz w:val="24"/>
          <w:szCs w:val="24"/>
        </w:rPr>
        <w:t>Ramo 11</w:t>
      </w:r>
      <w:r w:rsidR="00FB5052" w:rsidRPr="0084402E">
        <w:rPr>
          <w:rFonts w:ascii="Arial" w:eastAsiaTheme="majorEastAsia" w:hAnsi="Arial" w:cs="Arial"/>
          <w:bCs/>
          <w:iCs/>
          <w:sz w:val="24"/>
          <w:szCs w:val="24"/>
        </w:rPr>
        <w:t xml:space="preserve"> que son ministrados p</w:t>
      </w:r>
      <w:r w:rsidR="0027241B" w:rsidRPr="0084402E">
        <w:rPr>
          <w:rFonts w:ascii="Arial" w:eastAsiaTheme="majorEastAsia" w:hAnsi="Arial" w:cs="Arial"/>
          <w:bCs/>
          <w:iCs/>
          <w:sz w:val="24"/>
          <w:szCs w:val="24"/>
        </w:rPr>
        <w:t>or el INEA al IEAEY, aunque en los anexos presupuestal y contable</w:t>
      </w:r>
      <w:r w:rsidR="004D7A34" w:rsidRPr="0084402E">
        <w:rPr>
          <w:rFonts w:ascii="Arial" w:eastAsiaTheme="majorEastAsia" w:hAnsi="Arial" w:cs="Arial"/>
          <w:bCs/>
          <w:iCs/>
          <w:sz w:val="24"/>
          <w:szCs w:val="24"/>
        </w:rPr>
        <w:t xml:space="preserve"> de la Cuenta Pública 2014 del e</w:t>
      </w:r>
      <w:r w:rsidR="0027241B" w:rsidRPr="0084402E">
        <w:rPr>
          <w:rFonts w:ascii="Arial" w:eastAsiaTheme="majorEastAsia" w:hAnsi="Arial" w:cs="Arial"/>
          <w:bCs/>
          <w:iCs/>
          <w:sz w:val="24"/>
          <w:szCs w:val="24"/>
        </w:rPr>
        <w:t>stado de Yucatán, en el estado anal</w:t>
      </w:r>
      <w:r w:rsidR="00147597" w:rsidRPr="0084402E">
        <w:rPr>
          <w:rFonts w:ascii="Arial" w:eastAsiaTheme="majorEastAsia" w:hAnsi="Arial" w:cs="Arial"/>
          <w:bCs/>
          <w:iCs/>
          <w:sz w:val="24"/>
          <w:szCs w:val="24"/>
        </w:rPr>
        <w:t xml:space="preserve">ítico de ingresos y el estado de actividades el IEAEY </w:t>
      </w:r>
      <w:r w:rsidR="009A33DE" w:rsidRPr="0084402E">
        <w:rPr>
          <w:rFonts w:ascii="Arial" w:eastAsiaTheme="majorEastAsia" w:hAnsi="Arial" w:cs="Arial"/>
          <w:bCs/>
          <w:iCs/>
          <w:sz w:val="24"/>
          <w:szCs w:val="24"/>
        </w:rPr>
        <w:t>el recurso</w:t>
      </w:r>
      <w:r w:rsidR="007860F6" w:rsidRPr="0084402E">
        <w:rPr>
          <w:rFonts w:ascii="Arial" w:eastAsiaTheme="majorEastAsia" w:hAnsi="Arial" w:cs="Arial"/>
          <w:bCs/>
          <w:iCs/>
          <w:sz w:val="24"/>
          <w:szCs w:val="24"/>
        </w:rPr>
        <w:t xml:space="preserve"> </w:t>
      </w:r>
      <w:r w:rsidR="00147597" w:rsidRPr="0084402E">
        <w:rPr>
          <w:rFonts w:ascii="Arial" w:eastAsiaTheme="majorEastAsia" w:hAnsi="Arial" w:cs="Arial"/>
          <w:bCs/>
          <w:iCs/>
          <w:sz w:val="24"/>
          <w:szCs w:val="24"/>
        </w:rPr>
        <w:t>se muestra de manera agregada bajo concepto</w:t>
      </w:r>
      <w:r w:rsidR="00DE616D">
        <w:rPr>
          <w:rFonts w:ascii="Arial" w:eastAsiaTheme="majorEastAsia" w:hAnsi="Arial" w:cs="Arial"/>
          <w:bCs/>
          <w:iCs/>
          <w:sz w:val="24"/>
          <w:szCs w:val="24"/>
        </w:rPr>
        <w:t>s</w:t>
      </w:r>
      <w:r w:rsidR="00147597" w:rsidRPr="0084402E">
        <w:rPr>
          <w:rFonts w:ascii="Arial" w:eastAsiaTheme="majorEastAsia" w:hAnsi="Arial" w:cs="Arial"/>
          <w:bCs/>
          <w:iCs/>
          <w:sz w:val="24"/>
          <w:szCs w:val="24"/>
        </w:rPr>
        <w:t xml:space="preserve"> de </w:t>
      </w:r>
      <w:r w:rsidR="00E014B5" w:rsidRPr="0084402E">
        <w:rPr>
          <w:rFonts w:ascii="Arial" w:eastAsiaTheme="majorEastAsia" w:hAnsi="Arial" w:cs="Arial"/>
          <w:bCs/>
          <w:iCs/>
          <w:sz w:val="24"/>
          <w:szCs w:val="24"/>
        </w:rPr>
        <w:t xml:space="preserve">transferencias, asignaciones, subsidios y otras ayudas. </w:t>
      </w:r>
    </w:p>
    <w:p w14:paraId="46A01DCB" w14:textId="77777777" w:rsidR="00884ACF" w:rsidRPr="0084402E" w:rsidRDefault="00884ACF" w:rsidP="007860F6">
      <w:pPr>
        <w:spacing w:after="0" w:line="360" w:lineRule="auto"/>
        <w:jc w:val="both"/>
        <w:rPr>
          <w:rFonts w:ascii="Arial" w:eastAsiaTheme="majorEastAsia" w:hAnsi="Arial" w:cs="Arial"/>
          <w:bCs/>
          <w:iCs/>
          <w:sz w:val="24"/>
          <w:szCs w:val="24"/>
        </w:rPr>
      </w:pPr>
    </w:p>
    <w:p w14:paraId="07A3C752" w14:textId="77777777" w:rsidR="004B2916" w:rsidRPr="0084402E" w:rsidRDefault="007860F6" w:rsidP="00E80B52">
      <w:pPr>
        <w:spacing w:after="0" w:line="360" w:lineRule="auto"/>
        <w:jc w:val="both"/>
        <w:rPr>
          <w:rFonts w:ascii="Arial" w:eastAsiaTheme="majorEastAsia" w:hAnsi="Arial" w:cs="Arial"/>
          <w:bCs/>
          <w:iCs/>
          <w:sz w:val="24"/>
          <w:szCs w:val="24"/>
        </w:rPr>
      </w:pPr>
      <w:r w:rsidRPr="0084402E">
        <w:rPr>
          <w:rFonts w:ascii="Arial" w:eastAsiaTheme="majorEastAsia" w:hAnsi="Arial" w:cs="Arial"/>
          <w:bCs/>
          <w:iCs/>
          <w:sz w:val="24"/>
          <w:szCs w:val="24"/>
        </w:rPr>
        <w:t>Con estos recursos se</w:t>
      </w:r>
      <w:r w:rsidR="004B2916" w:rsidRPr="0084402E">
        <w:rPr>
          <w:rFonts w:ascii="Arial" w:eastAsiaTheme="majorEastAsia" w:hAnsi="Arial" w:cs="Arial"/>
          <w:bCs/>
          <w:iCs/>
          <w:sz w:val="24"/>
          <w:szCs w:val="24"/>
        </w:rPr>
        <w:t xml:space="preserve"> financia</w:t>
      </w:r>
      <w:r w:rsidR="00E80B52" w:rsidRPr="0084402E">
        <w:rPr>
          <w:rFonts w:ascii="Arial" w:eastAsiaTheme="majorEastAsia" w:hAnsi="Arial" w:cs="Arial"/>
          <w:bCs/>
          <w:iCs/>
          <w:sz w:val="24"/>
          <w:szCs w:val="24"/>
        </w:rPr>
        <w:t>n los servicios a</w:t>
      </w:r>
      <w:r w:rsidR="004B2916" w:rsidRPr="0084402E">
        <w:rPr>
          <w:rFonts w:ascii="Arial" w:eastAsiaTheme="majorEastAsia" w:hAnsi="Arial" w:cs="Arial"/>
          <w:bCs/>
          <w:iCs/>
          <w:sz w:val="24"/>
          <w:szCs w:val="24"/>
        </w:rPr>
        <w:t>dministrativos  y</w:t>
      </w:r>
      <w:r w:rsidR="00E80B52" w:rsidRPr="0084402E">
        <w:rPr>
          <w:rFonts w:ascii="Arial" w:eastAsiaTheme="majorEastAsia" w:hAnsi="Arial" w:cs="Arial"/>
          <w:bCs/>
          <w:iCs/>
          <w:sz w:val="24"/>
          <w:szCs w:val="24"/>
        </w:rPr>
        <w:t xml:space="preserve"> el pago de s</w:t>
      </w:r>
      <w:r w:rsidR="004B2916" w:rsidRPr="0084402E">
        <w:rPr>
          <w:rFonts w:ascii="Arial" w:eastAsiaTheme="majorEastAsia" w:hAnsi="Arial" w:cs="Arial"/>
          <w:bCs/>
          <w:iCs/>
          <w:sz w:val="24"/>
          <w:szCs w:val="24"/>
        </w:rPr>
        <w:t xml:space="preserve">ervicios </w:t>
      </w:r>
      <w:r w:rsidR="00E80B52" w:rsidRPr="0084402E">
        <w:rPr>
          <w:rFonts w:ascii="Arial" w:eastAsiaTheme="majorEastAsia" w:hAnsi="Arial" w:cs="Arial"/>
          <w:bCs/>
          <w:iCs/>
          <w:sz w:val="24"/>
          <w:szCs w:val="24"/>
        </w:rPr>
        <w:t>b</w:t>
      </w:r>
      <w:r w:rsidR="004B2916" w:rsidRPr="0084402E">
        <w:rPr>
          <w:rFonts w:ascii="Arial" w:eastAsiaTheme="majorEastAsia" w:hAnsi="Arial" w:cs="Arial"/>
          <w:bCs/>
          <w:iCs/>
          <w:sz w:val="24"/>
          <w:szCs w:val="24"/>
        </w:rPr>
        <w:t>ásicos que conforman los gastos</w:t>
      </w:r>
      <w:r w:rsidR="00E80B52" w:rsidRPr="0084402E">
        <w:rPr>
          <w:rFonts w:ascii="Arial" w:eastAsiaTheme="majorEastAsia" w:hAnsi="Arial" w:cs="Arial"/>
          <w:bCs/>
          <w:iCs/>
          <w:sz w:val="24"/>
          <w:szCs w:val="24"/>
        </w:rPr>
        <w:t xml:space="preserve"> de operación del I</w:t>
      </w:r>
      <w:r w:rsidR="004B2916" w:rsidRPr="0084402E">
        <w:rPr>
          <w:rFonts w:ascii="Arial" w:eastAsiaTheme="majorEastAsia" w:hAnsi="Arial" w:cs="Arial"/>
          <w:bCs/>
          <w:iCs/>
          <w:sz w:val="24"/>
          <w:szCs w:val="24"/>
        </w:rPr>
        <w:t>nstituto</w:t>
      </w:r>
      <w:r w:rsidR="00E014B5" w:rsidRPr="0084402E">
        <w:rPr>
          <w:rFonts w:ascii="Arial" w:eastAsiaTheme="majorEastAsia" w:hAnsi="Arial" w:cs="Arial"/>
          <w:bCs/>
          <w:iCs/>
          <w:sz w:val="24"/>
          <w:szCs w:val="24"/>
        </w:rPr>
        <w:t xml:space="preserve">, </w:t>
      </w:r>
      <w:r w:rsidR="004B2916" w:rsidRPr="0084402E">
        <w:rPr>
          <w:rFonts w:ascii="Arial" w:eastAsiaTheme="majorEastAsia" w:hAnsi="Arial" w:cs="Arial"/>
          <w:bCs/>
          <w:iCs/>
          <w:sz w:val="24"/>
          <w:szCs w:val="24"/>
        </w:rPr>
        <w:t xml:space="preserve">así como de las 12 coordinaciones de zona que dan cobertura </w:t>
      </w:r>
      <w:r w:rsidR="00E014B5" w:rsidRPr="0084402E">
        <w:rPr>
          <w:rFonts w:ascii="Arial" w:eastAsiaTheme="majorEastAsia" w:hAnsi="Arial" w:cs="Arial"/>
          <w:bCs/>
          <w:iCs/>
          <w:sz w:val="24"/>
          <w:szCs w:val="24"/>
        </w:rPr>
        <w:t xml:space="preserve">a los 106 municipios del estado, gastos de operación necesarios y relacionados con la prestación de los servicios educativos, lo que se verificó en el apartado del presupuesto por objeto del gasto del anexo presupuestario de la Cuenta Pública 2014 del Gobierno del Estado de Yucatán. </w:t>
      </w:r>
    </w:p>
    <w:p w14:paraId="31224EB6" w14:textId="77777777" w:rsidR="00E014B5" w:rsidRPr="0084402E" w:rsidRDefault="00E014B5" w:rsidP="004B2916">
      <w:pPr>
        <w:spacing w:after="0" w:line="360" w:lineRule="auto"/>
        <w:rPr>
          <w:rFonts w:ascii="Arial" w:eastAsiaTheme="majorEastAsia" w:hAnsi="Arial" w:cs="Arial"/>
          <w:bCs/>
          <w:iCs/>
          <w:sz w:val="24"/>
          <w:szCs w:val="24"/>
          <w:highlight w:val="yellow"/>
        </w:rPr>
      </w:pPr>
    </w:p>
    <w:p w14:paraId="0C325F42" w14:textId="00074160" w:rsidR="004B2916" w:rsidRPr="0084402E" w:rsidRDefault="00465FF8" w:rsidP="00E80B52">
      <w:pPr>
        <w:spacing w:after="0" w:line="360" w:lineRule="auto"/>
        <w:jc w:val="both"/>
        <w:rPr>
          <w:rFonts w:ascii="Arial" w:eastAsiaTheme="majorEastAsia" w:hAnsi="Arial" w:cs="Arial"/>
          <w:bCs/>
          <w:iCs/>
          <w:sz w:val="24"/>
          <w:szCs w:val="24"/>
        </w:rPr>
      </w:pPr>
      <w:r w:rsidRPr="0084402E">
        <w:rPr>
          <w:rFonts w:ascii="Arial" w:eastAsiaTheme="majorEastAsia" w:hAnsi="Arial" w:cs="Arial"/>
          <w:bCs/>
          <w:iCs/>
          <w:sz w:val="24"/>
          <w:szCs w:val="24"/>
        </w:rPr>
        <w:t>Según la dependencia ejecutora</w:t>
      </w:r>
      <w:r w:rsidR="00E014B5" w:rsidRPr="0084402E">
        <w:rPr>
          <w:rFonts w:ascii="Arial" w:eastAsiaTheme="majorEastAsia" w:hAnsi="Arial" w:cs="Arial"/>
          <w:bCs/>
          <w:iCs/>
          <w:sz w:val="24"/>
          <w:szCs w:val="24"/>
        </w:rPr>
        <w:t xml:space="preserve">, del presupuesto </w:t>
      </w:r>
      <w:r w:rsidR="000D1CA7" w:rsidRPr="0084402E">
        <w:rPr>
          <w:rFonts w:ascii="Arial" w:eastAsiaTheme="majorEastAsia" w:hAnsi="Arial" w:cs="Arial"/>
          <w:bCs/>
          <w:iCs/>
          <w:sz w:val="24"/>
          <w:szCs w:val="24"/>
        </w:rPr>
        <w:t>asignado al</w:t>
      </w:r>
      <w:r w:rsidR="004B2916" w:rsidRPr="0084402E">
        <w:rPr>
          <w:rFonts w:ascii="Arial" w:eastAsiaTheme="majorEastAsia" w:hAnsi="Arial" w:cs="Arial"/>
          <w:bCs/>
          <w:iCs/>
          <w:sz w:val="24"/>
          <w:szCs w:val="24"/>
        </w:rPr>
        <w:t xml:space="preserve"> programa presupuestario de rezago educativo, se aplica el 69% para el pago de gratificaciones a las figuras voluntarias que fungen como asesores; así como del personal institucional que realiza el trabajo operativo de focalización, formación y certificación de adultos que salen de algún tipo de rezago.</w:t>
      </w:r>
    </w:p>
    <w:p w14:paraId="037D10DE" w14:textId="77777777" w:rsidR="000E5C78" w:rsidRPr="0084402E" w:rsidRDefault="00B7588B" w:rsidP="00FB5052">
      <w:pPr>
        <w:spacing w:after="0" w:line="360" w:lineRule="auto"/>
        <w:rPr>
          <w:rFonts w:ascii="Arial" w:eastAsiaTheme="majorEastAsia" w:hAnsi="Arial" w:cs="Arial"/>
          <w:b/>
          <w:bCs/>
          <w:iCs/>
          <w:sz w:val="24"/>
          <w:szCs w:val="24"/>
        </w:rPr>
      </w:pPr>
      <w:r w:rsidRPr="0084402E">
        <w:rPr>
          <w:rFonts w:ascii="Arial" w:eastAsiaTheme="majorEastAsia" w:hAnsi="Arial" w:cs="Arial"/>
          <w:b/>
          <w:bCs/>
          <w:iCs/>
          <w:sz w:val="24"/>
          <w:szCs w:val="24"/>
        </w:rPr>
        <w:br w:type="page"/>
      </w:r>
    </w:p>
    <w:p w14:paraId="6FFCB65D" w14:textId="77777777" w:rsidR="000E5C78" w:rsidRPr="0084402E" w:rsidRDefault="000E5C78" w:rsidP="004C0514">
      <w:pPr>
        <w:spacing w:after="0" w:line="360" w:lineRule="auto"/>
        <w:jc w:val="center"/>
        <w:rPr>
          <w:rFonts w:ascii="Arial" w:hAnsi="Arial" w:cs="Arial"/>
          <w:sz w:val="24"/>
          <w:szCs w:val="24"/>
        </w:rPr>
      </w:pPr>
    </w:p>
    <w:p w14:paraId="4CED03F2" w14:textId="77777777" w:rsidR="000E5C78" w:rsidRPr="0084402E" w:rsidRDefault="000E5C78" w:rsidP="004C0514">
      <w:pPr>
        <w:spacing w:after="0" w:line="360" w:lineRule="auto"/>
        <w:jc w:val="center"/>
        <w:rPr>
          <w:rFonts w:ascii="Arial" w:hAnsi="Arial" w:cs="Arial"/>
          <w:sz w:val="24"/>
          <w:szCs w:val="24"/>
        </w:rPr>
      </w:pPr>
    </w:p>
    <w:p w14:paraId="3BBD45FD" w14:textId="77777777" w:rsidR="000E5C78" w:rsidRDefault="000E5C78" w:rsidP="004C0514">
      <w:pPr>
        <w:spacing w:after="0" w:line="360" w:lineRule="auto"/>
        <w:jc w:val="center"/>
        <w:rPr>
          <w:rFonts w:ascii="Arial" w:hAnsi="Arial" w:cs="Arial"/>
          <w:sz w:val="24"/>
          <w:szCs w:val="24"/>
        </w:rPr>
      </w:pPr>
    </w:p>
    <w:p w14:paraId="246142AA" w14:textId="77777777" w:rsidR="00315EF2" w:rsidRDefault="00315EF2" w:rsidP="004C0514">
      <w:pPr>
        <w:spacing w:after="0" w:line="360" w:lineRule="auto"/>
        <w:jc w:val="center"/>
        <w:rPr>
          <w:rFonts w:ascii="Arial" w:hAnsi="Arial" w:cs="Arial"/>
          <w:sz w:val="24"/>
          <w:szCs w:val="24"/>
        </w:rPr>
      </w:pPr>
    </w:p>
    <w:p w14:paraId="42473971" w14:textId="77777777" w:rsidR="00315EF2" w:rsidRDefault="00315EF2" w:rsidP="004C0514">
      <w:pPr>
        <w:spacing w:after="0" w:line="360" w:lineRule="auto"/>
        <w:jc w:val="center"/>
        <w:rPr>
          <w:rFonts w:ascii="Arial" w:hAnsi="Arial" w:cs="Arial"/>
          <w:sz w:val="24"/>
          <w:szCs w:val="24"/>
        </w:rPr>
      </w:pPr>
    </w:p>
    <w:p w14:paraId="41737B0B" w14:textId="77777777" w:rsidR="00315EF2" w:rsidRDefault="00315EF2" w:rsidP="004C0514">
      <w:pPr>
        <w:spacing w:after="0" w:line="360" w:lineRule="auto"/>
        <w:jc w:val="center"/>
        <w:rPr>
          <w:rFonts w:ascii="Arial" w:hAnsi="Arial" w:cs="Arial"/>
          <w:sz w:val="24"/>
          <w:szCs w:val="24"/>
        </w:rPr>
      </w:pPr>
    </w:p>
    <w:p w14:paraId="06442A6B" w14:textId="77777777" w:rsidR="00315EF2" w:rsidRDefault="00315EF2" w:rsidP="004C0514">
      <w:pPr>
        <w:spacing w:after="0" w:line="360" w:lineRule="auto"/>
        <w:jc w:val="center"/>
        <w:rPr>
          <w:rFonts w:ascii="Arial" w:hAnsi="Arial" w:cs="Arial"/>
          <w:sz w:val="24"/>
          <w:szCs w:val="24"/>
        </w:rPr>
      </w:pPr>
    </w:p>
    <w:p w14:paraId="001C010C" w14:textId="77777777" w:rsidR="00315EF2" w:rsidRDefault="00315EF2" w:rsidP="004C0514">
      <w:pPr>
        <w:spacing w:after="0" w:line="360" w:lineRule="auto"/>
        <w:jc w:val="center"/>
        <w:rPr>
          <w:rFonts w:ascii="Arial" w:hAnsi="Arial" w:cs="Arial"/>
          <w:sz w:val="24"/>
          <w:szCs w:val="24"/>
        </w:rPr>
      </w:pPr>
    </w:p>
    <w:p w14:paraId="4D60E959" w14:textId="77777777" w:rsidR="00315EF2" w:rsidRPr="0084402E" w:rsidRDefault="00315EF2" w:rsidP="004C0514">
      <w:pPr>
        <w:spacing w:after="0" w:line="360" w:lineRule="auto"/>
        <w:jc w:val="center"/>
        <w:rPr>
          <w:rFonts w:ascii="Arial" w:hAnsi="Arial" w:cs="Arial"/>
          <w:sz w:val="24"/>
          <w:szCs w:val="24"/>
        </w:rPr>
      </w:pPr>
    </w:p>
    <w:p w14:paraId="6732C40A" w14:textId="77777777" w:rsidR="000E5C78" w:rsidRPr="0084402E" w:rsidRDefault="000E5C78" w:rsidP="004C0514">
      <w:pPr>
        <w:spacing w:after="0" w:line="360" w:lineRule="auto"/>
        <w:jc w:val="center"/>
        <w:rPr>
          <w:rFonts w:ascii="Arial" w:hAnsi="Arial" w:cs="Arial"/>
          <w:sz w:val="24"/>
          <w:szCs w:val="24"/>
        </w:rPr>
      </w:pPr>
    </w:p>
    <w:p w14:paraId="21979844" w14:textId="77777777" w:rsidR="000E5C78" w:rsidRPr="0084402E" w:rsidRDefault="000E5C78" w:rsidP="004C0514">
      <w:pPr>
        <w:spacing w:after="0" w:line="360" w:lineRule="auto"/>
        <w:jc w:val="center"/>
        <w:rPr>
          <w:rFonts w:ascii="Arial" w:hAnsi="Arial" w:cs="Arial"/>
          <w:sz w:val="24"/>
          <w:szCs w:val="24"/>
        </w:rPr>
      </w:pPr>
    </w:p>
    <w:p w14:paraId="0651A42A" w14:textId="77777777" w:rsidR="00C25BC7" w:rsidRPr="0084402E" w:rsidRDefault="00C25BC7" w:rsidP="004C0514">
      <w:pPr>
        <w:spacing w:after="0" w:line="360" w:lineRule="auto"/>
        <w:jc w:val="center"/>
        <w:rPr>
          <w:rFonts w:ascii="Arial" w:hAnsi="Arial" w:cs="Arial"/>
          <w:sz w:val="24"/>
          <w:szCs w:val="24"/>
        </w:rPr>
      </w:pPr>
    </w:p>
    <w:p w14:paraId="0513A29F" w14:textId="77777777" w:rsidR="000E5C78" w:rsidRPr="0084402E" w:rsidRDefault="00E63324" w:rsidP="004C0514">
      <w:pPr>
        <w:spacing w:after="0" w:line="360" w:lineRule="auto"/>
        <w:jc w:val="center"/>
        <w:rPr>
          <w:rFonts w:ascii="Arial" w:eastAsiaTheme="minorEastAsia" w:hAnsi="Arial" w:cs="Arial"/>
          <w:b/>
          <w:sz w:val="24"/>
          <w:szCs w:val="24"/>
        </w:rPr>
      </w:pPr>
      <w:r w:rsidRPr="0084402E">
        <w:rPr>
          <w:rFonts w:ascii="Arial" w:hAnsi="Arial" w:cs="Arial"/>
          <w:b/>
          <w:sz w:val="24"/>
          <w:szCs w:val="24"/>
        </w:rPr>
        <w:t xml:space="preserve"> III. </w:t>
      </w:r>
      <w:r w:rsidRPr="0084402E">
        <w:rPr>
          <w:rFonts w:ascii="Arial" w:eastAsiaTheme="minorEastAsia" w:hAnsi="Arial" w:cs="Arial"/>
          <w:b/>
          <w:sz w:val="24"/>
          <w:szCs w:val="24"/>
        </w:rPr>
        <w:t>COBERTURA DE ATENCIÓN</w:t>
      </w:r>
    </w:p>
    <w:p w14:paraId="5D526C8D" w14:textId="77777777" w:rsidR="000E5C78" w:rsidRPr="0084402E" w:rsidRDefault="000E5C78" w:rsidP="004C0514">
      <w:pPr>
        <w:spacing w:after="0" w:line="360" w:lineRule="auto"/>
        <w:rPr>
          <w:rFonts w:ascii="Arial" w:eastAsiaTheme="majorEastAsia" w:hAnsi="Arial" w:cs="Arial"/>
          <w:b/>
          <w:bCs/>
          <w:iCs/>
          <w:sz w:val="24"/>
          <w:szCs w:val="24"/>
        </w:rPr>
      </w:pPr>
    </w:p>
    <w:p w14:paraId="3E1B3F4E" w14:textId="77777777" w:rsidR="000E5C78" w:rsidRPr="0084402E" w:rsidRDefault="000E5C78" w:rsidP="004C0514">
      <w:pPr>
        <w:spacing w:after="0" w:line="240" w:lineRule="auto"/>
        <w:rPr>
          <w:rFonts w:ascii="Arial" w:eastAsiaTheme="majorEastAsia" w:hAnsi="Arial" w:cs="Arial"/>
          <w:b/>
          <w:bCs/>
          <w:iCs/>
          <w:sz w:val="24"/>
          <w:szCs w:val="24"/>
        </w:rPr>
      </w:pPr>
      <w:r w:rsidRPr="0084402E">
        <w:rPr>
          <w:rFonts w:ascii="Arial" w:eastAsiaTheme="majorEastAsia" w:hAnsi="Arial" w:cs="Arial"/>
          <w:b/>
          <w:bCs/>
          <w:iCs/>
          <w:sz w:val="24"/>
          <w:szCs w:val="24"/>
        </w:rPr>
        <w:br w:type="page"/>
      </w:r>
    </w:p>
    <w:p w14:paraId="36586442" w14:textId="77777777" w:rsidR="00C671F3" w:rsidRPr="0084402E" w:rsidRDefault="00C671F3" w:rsidP="00C2204B">
      <w:pPr>
        <w:spacing w:after="0" w:line="360" w:lineRule="auto"/>
        <w:ind w:left="283"/>
        <w:jc w:val="both"/>
        <w:rPr>
          <w:rFonts w:ascii="Arial" w:eastAsiaTheme="minorEastAsia" w:hAnsi="Arial" w:cs="Arial"/>
          <w:b/>
          <w:sz w:val="24"/>
          <w:szCs w:val="24"/>
        </w:rPr>
      </w:pPr>
      <w:r w:rsidRPr="0084402E">
        <w:rPr>
          <w:rFonts w:ascii="Arial" w:eastAsiaTheme="minorEastAsia" w:hAnsi="Arial" w:cs="Arial"/>
          <w:b/>
          <w:sz w:val="24"/>
          <w:szCs w:val="24"/>
        </w:rPr>
        <w:lastRenderedPageBreak/>
        <w:t>6. Analizar y completar el Cuadro No. 3 considerando lo siguiente:</w:t>
      </w:r>
    </w:p>
    <w:p w14:paraId="780B1868" w14:textId="77777777" w:rsidR="00C671F3" w:rsidRPr="0084402E" w:rsidRDefault="00C671F3" w:rsidP="00C2204B">
      <w:pPr>
        <w:spacing w:after="0" w:line="360" w:lineRule="auto"/>
        <w:ind w:left="283"/>
        <w:jc w:val="both"/>
        <w:rPr>
          <w:rFonts w:ascii="Arial" w:eastAsiaTheme="minorEastAsia" w:hAnsi="Arial" w:cs="Arial"/>
          <w:sz w:val="24"/>
          <w:szCs w:val="24"/>
        </w:rPr>
      </w:pPr>
      <w:r w:rsidRPr="0084402E">
        <w:rPr>
          <w:rFonts w:ascii="Arial" w:eastAsiaTheme="minorEastAsia" w:hAnsi="Arial" w:cs="Arial"/>
          <w:sz w:val="24"/>
          <w:szCs w:val="24"/>
        </w:rPr>
        <w:t xml:space="preserve">La </w:t>
      </w:r>
      <w:r w:rsidRPr="0084402E">
        <w:rPr>
          <w:rFonts w:ascii="Arial" w:eastAsiaTheme="minorEastAsia" w:hAnsi="Arial" w:cs="Arial"/>
          <w:b/>
          <w:i/>
          <w:sz w:val="24"/>
          <w:szCs w:val="24"/>
        </w:rPr>
        <w:t>población potencial</w:t>
      </w:r>
      <w:r w:rsidRPr="0084402E">
        <w:rPr>
          <w:rFonts w:ascii="Arial" w:eastAsiaTheme="minorEastAsia" w:hAnsi="Arial" w:cs="Arial"/>
          <w:sz w:val="24"/>
          <w:szCs w:val="24"/>
        </w:rPr>
        <w:t xml:space="preserve"> corresponde al total de la población o área de enfoque que presenta la necesidad y/o problema que justifica la existencia del Programa Presupuestario evaluado que ejerce recursos del Fondo  y por ende pudiera ser elegible para su atención. </w:t>
      </w:r>
    </w:p>
    <w:p w14:paraId="5CB44537" w14:textId="77777777" w:rsidR="00C671F3" w:rsidRPr="0084402E" w:rsidRDefault="00C671F3" w:rsidP="00C2204B">
      <w:pPr>
        <w:spacing w:after="0" w:line="360" w:lineRule="auto"/>
        <w:ind w:left="283"/>
        <w:jc w:val="both"/>
        <w:rPr>
          <w:rFonts w:ascii="Arial" w:eastAsiaTheme="minorEastAsia" w:hAnsi="Arial" w:cs="Arial"/>
          <w:sz w:val="24"/>
          <w:szCs w:val="24"/>
        </w:rPr>
      </w:pPr>
      <w:r w:rsidRPr="0084402E">
        <w:rPr>
          <w:rFonts w:ascii="Arial" w:eastAsiaTheme="minorEastAsia" w:hAnsi="Arial" w:cs="Arial"/>
          <w:sz w:val="24"/>
          <w:szCs w:val="24"/>
        </w:rPr>
        <w:t xml:space="preserve">La </w:t>
      </w:r>
      <w:r w:rsidRPr="0084402E">
        <w:rPr>
          <w:rFonts w:ascii="Arial" w:eastAsiaTheme="minorEastAsia" w:hAnsi="Arial" w:cs="Arial"/>
          <w:b/>
          <w:i/>
          <w:sz w:val="24"/>
          <w:szCs w:val="24"/>
        </w:rPr>
        <w:t>población objetivo</w:t>
      </w:r>
      <w:r w:rsidRPr="0084402E">
        <w:rPr>
          <w:rFonts w:ascii="Arial" w:eastAsiaTheme="minorEastAsia" w:hAnsi="Arial" w:cs="Arial"/>
          <w:sz w:val="24"/>
          <w:szCs w:val="24"/>
        </w:rPr>
        <w:t xml:space="preserve"> es aquella que el Programa tiene programado atender en un período dado de tiempo, pudiendo corresponder a la totalidad de la población potencial o a una parte de ella. </w:t>
      </w:r>
    </w:p>
    <w:p w14:paraId="0AD03D81" w14:textId="77777777" w:rsidR="00C671F3" w:rsidRPr="0084402E" w:rsidRDefault="00C671F3" w:rsidP="00C2204B">
      <w:pPr>
        <w:spacing w:after="0" w:line="360" w:lineRule="auto"/>
        <w:ind w:left="283"/>
        <w:jc w:val="both"/>
        <w:rPr>
          <w:rFonts w:ascii="Arial" w:eastAsiaTheme="minorEastAsia" w:hAnsi="Arial" w:cs="Arial"/>
          <w:sz w:val="24"/>
          <w:szCs w:val="24"/>
        </w:rPr>
      </w:pPr>
      <w:r w:rsidRPr="0084402E">
        <w:rPr>
          <w:rFonts w:ascii="Arial" w:eastAsiaTheme="minorEastAsia" w:hAnsi="Arial" w:cs="Arial"/>
          <w:sz w:val="24"/>
          <w:szCs w:val="24"/>
        </w:rPr>
        <w:t xml:space="preserve">La </w:t>
      </w:r>
      <w:r w:rsidRPr="0084402E">
        <w:rPr>
          <w:rFonts w:ascii="Arial" w:eastAsiaTheme="minorEastAsia" w:hAnsi="Arial" w:cs="Arial"/>
          <w:b/>
          <w:i/>
          <w:sz w:val="24"/>
          <w:szCs w:val="24"/>
        </w:rPr>
        <w:t>población atendida</w:t>
      </w:r>
      <w:r w:rsidRPr="0084402E">
        <w:rPr>
          <w:rFonts w:ascii="Arial" w:eastAsiaTheme="minorEastAsia" w:hAnsi="Arial" w:cs="Arial"/>
          <w:sz w:val="24"/>
          <w:szCs w:val="24"/>
        </w:rPr>
        <w:t xml:space="preserve"> es aquella que recibió el beneficio y puede ser una parte o la totalidad de la población objetivo.</w:t>
      </w:r>
    </w:p>
    <w:p w14:paraId="71D42E44" w14:textId="77777777" w:rsidR="009303A4" w:rsidRPr="0084402E" w:rsidRDefault="00E63324" w:rsidP="000135DF">
      <w:pPr>
        <w:spacing w:after="0" w:line="360" w:lineRule="auto"/>
        <w:rPr>
          <w:rFonts w:ascii="Arial" w:eastAsiaTheme="minorEastAsia" w:hAnsi="Arial" w:cs="Arial"/>
          <w:b/>
          <w:sz w:val="24"/>
          <w:szCs w:val="24"/>
        </w:rPr>
      </w:pPr>
      <w:r w:rsidRPr="0084402E">
        <w:rPr>
          <w:rFonts w:ascii="Arial" w:eastAsiaTheme="minorEastAsia" w:hAnsi="Arial" w:cs="Arial"/>
          <w:b/>
          <w:sz w:val="24"/>
          <w:szCs w:val="24"/>
        </w:rPr>
        <w:t>RESPUESTA:</w:t>
      </w:r>
    </w:p>
    <w:tbl>
      <w:tblPr>
        <w:tblStyle w:val="Tablaconcuadrcula1"/>
        <w:tblW w:w="0" w:type="auto"/>
        <w:tblLook w:val="04A0" w:firstRow="1" w:lastRow="0" w:firstColumn="1" w:lastColumn="0" w:noHBand="0" w:noVBand="1"/>
      </w:tblPr>
      <w:tblGrid>
        <w:gridCol w:w="750"/>
        <w:gridCol w:w="1752"/>
        <w:gridCol w:w="1735"/>
        <w:gridCol w:w="1746"/>
        <w:gridCol w:w="2190"/>
        <w:gridCol w:w="1902"/>
      </w:tblGrid>
      <w:tr w:rsidR="009303A4" w:rsidRPr="0084402E" w14:paraId="377E8FBE" w14:textId="77777777" w:rsidTr="007B2E94">
        <w:tc>
          <w:tcPr>
            <w:tcW w:w="0" w:type="auto"/>
            <w:gridSpan w:val="6"/>
            <w:shd w:val="clear" w:color="auto" w:fill="EEECE1" w:themeFill="background2"/>
          </w:tcPr>
          <w:p w14:paraId="73FFCD94" w14:textId="77777777" w:rsidR="009303A4" w:rsidRPr="0084402E" w:rsidRDefault="00D41594" w:rsidP="007B2E94">
            <w:pPr>
              <w:spacing w:after="100" w:afterAutospacing="1" w:line="360" w:lineRule="auto"/>
              <w:contextualSpacing/>
              <w:jc w:val="center"/>
              <w:rPr>
                <w:rFonts w:ascii="Arial" w:hAnsi="Arial" w:cs="Arial"/>
                <w:b/>
                <w:i/>
                <w:sz w:val="24"/>
                <w:szCs w:val="24"/>
                <w:lang w:eastAsia="es-MX"/>
              </w:rPr>
            </w:pPr>
            <w:r w:rsidRPr="0084402E">
              <w:rPr>
                <w:rFonts w:ascii="Arial" w:hAnsi="Arial" w:cs="Arial"/>
                <w:b/>
                <w:i/>
                <w:sz w:val="24"/>
                <w:szCs w:val="24"/>
                <w:lang w:eastAsia="es-MX"/>
              </w:rPr>
              <w:t>Tabla No. 5</w:t>
            </w:r>
            <w:r w:rsidR="009303A4" w:rsidRPr="0084402E">
              <w:rPr>
                <w:rFonts w:ascii="Arial" w:hAnsi="Arial" w:cs="Arial"/>
                <w:b/>
                <w:i/>
                <w:sz w:val="24"/>
                <w:szCs w:val="24"/>
                <w:lang w:eastAsia="es-MX"/>
              </w:rPr>
              <w:t xml:space="preserve"> Variación de la Cobertura de Atención</w:t>
            </w:r>
          </w:p>
        </w:tc>
      </w:tr>
      <w:tr w:rsidR="009303A4" w:rsidRPr="0084402E" w14:paraId="7EA2D7E0" w14:textId="77777777" w:rsidTr="007B2E94">
        <w:tc>
          <w:tcPr>
            <w:tcW w:w="0" w:type="auto"/>
          </w:tcPr>
          <w:p w14:paraId="0D5D31EF" w14:textId="77777777" w:rsidR="009303A4" w:rsidRPr="0084402E" w:rsidRDefault="009303A4" w:rsidP="007B2E94">
            <w:pPr>
              <w:spacing w:after="100" w:afterAutospacing="1" w:line="360" w:lineRule="auto"/>
              <w:contextualSpacing/>
              <w:jc w:val="both"/>
              <w:rPr>
                <w:rFonts w:ascii="Arial" w:hAnsi="Arial" w:cs="Arial"/>
                <w:b/>
                <w:sz w:val="24"/>
                <w:szCs w:val="24"/>
              </w:rPr>
            </w:pPr>
          </w:p>
        </w:tc>
        <w:tc>
          <w:tcPr>
            <w:tcW w:w="0" w:type="auto"/>
          </w:tcPr>
          <w:p w14:paraId="4B51635B" w14:textId="77777777" w:rsidR="009303A4" w:rsidRPr="0084402E" w:rsidRDefault="009303A4" w:rsidP="007B2E94">
            <w:pPr>
              <w:spacing w:after="100" w:afterAutospacing="1" w:line="360" w:lineRule="auto"/>
              <w:contextualSpacing/>
              <w:jc w:val="both"/>
              <w:rPr>
                <w:rFonts w:ascii="Arial" w:hAnsi="Arial" w:cs="Arial"/>
                <w:b/>
                <w:sz w:val="24"/>
                <w:szCs w:val="24"/>
              </w:rPr>
            </w:pPr>
            <w:r w:rsidRPr="0084402E">
              <w:rPr>
                <w:rFonts w:ascii="Arial" w:hAnsi="Arial" w:cs="Arial"/>
                <w:b/>
                <w:sz w:val="24"/>
                <w:szCs w:val="24"/>
              </w:rPr>
              <w:t>Población Potencial (PP)</w:t>
            </w:r>
            <w:r w:rsidR="00B03CB5" w:rsidRPr="0084402E">
              <w:rPr>
                <w:rFonts w:ascii="Arial" w:hAnsi="Arial" w:cs="Arial"/>
                <w:b/>
                <w:sz w:val="24"/>
                <w:szCs w:val="24"/>
                <w:vertAlign w:val="superscript"/>
              </w:rPr>
              <w:t>1</w:t>
            </w:r>
            <w:r w:rsidR="009E556E" w:rsidRPr="0084402E">
              <w:rPr>
                <w:rFonts w:ascii="Arial" w:hAnsi="Arial" w:cs="Arial"/>
                <w:b/>
                <w:sz w:val="24"/>
                <w:szCs w:val="24"/>
                <w:vertAlign w:val="superscript"/>
              </w:rPr>
              <w:t>)</w:t>
            </w:r>
          </w:p>
        </w:tc>
        <w:tc>
          <w:tcPr>
            <w:tcW w:w="0" w:type="auto"/>
          </w:tcPr>
          <w:p w14:paraId="0C5D897B" w14:textId="77777777" w:rsidR="009303A4" w:rsidRPr="0084402E" w:rsidRDefault="009303A4" w:rsidP="007B2E94">
            <w:pPr>
              <w:spacing w:after="100" w:afterAutospacing="1" w:line="360" w:lineRule="auto"/>
              <w:contextualSpacing/>
              <w:jc w:val="both"/>
              <w:rPr>
                <w:rFonts w:ascii="Arial" w:hAnsi="Arial" w:cs="Arial"/>
                <w:b/>
                <w:sz w:val="24"/>
                <w:szCs w:val="24"/>
              </w:rPr>
            </w:pPr>
            <w:r w:rsidRPr="0084402E">
              <w:rPr>
                <w:rFonts w:ascii="Arial" w:hAnsi="Arial" w:cs="Arial"/>
                <w:b/>
                <w:sz w:val="24"/>
                <w:szCs w:val="24"/>
              </w:rPr>
              <w:t>Población Objetivo (PO)</w:t>
            </w:r>
            <w:r w:rsidR="00B03CB5" w:rsidRPr="0084402E">
              <w:rPr>
                <w:rFonts w:ascii="Arial" w:hAnsi="Arial" w:cs="Arial"/>
                <w:b/>
                <w:sz w:val="24"/>
                <w:szCs w:val="24"/>
                <w:vertAlign w:val="superscript"/>
              </w:rPr>
              <w:t>2</w:t>
            </w:r>
            <w:r w:rsidR="009E556E" w:rsidRPr="0084402E">
              <w:rPr>
                <w:rFonts w:ascii="Arial" w:hAnsi="Arial" w:cs="Arial"/>
                <w:b/>
                <w:sz w:val="24"/>
                <w:szCs w:val="24"/>
                <w:vertAlign w:val="superscript"/>
              </w:rPr>
              <w:t>)</w:t>
            </w:r>
          </w:p>
        </w:tc>
        <w:tc>
          <w:tcPr>
            <w:tcW w:w="0" w:type="auto"/>
          </w:tcPr>
          <w:p w14:paraId="7B6FEAFA" w14:textId="77777777" w:rsidR="009303A4" w:rsidRPr="0084402E" w:rsidRDefault="009303A4" w:rsidP="007B2E94">
            <w:pPr>
              <w:spacing w:after="100" w:afterAutospacing="1" w:line="360" w:lineRule="auto"/>
              <w:contextualSpacing/>
              <w:jc w:val="both"/>
              <w:rPr>
                <w:rFonts w:ascii="Arial" w:hAnsi="Arial" w:cs="Arial"/>
                <w:b/>
                <w:sz w:val="24"/>
                <w:szCs w:val="24"/>
              </w:rPr>
            </w:pPr>
            <w:r w:rsidRPr="0084402E">
              <w:rPr>
                <w:rFonts w:ascii="Arial" w:hAnsi="Arial" w:cs="Arial"/>
                <w:b/>
                <w:sz w:val="24"/>
                <w:szCs w:val="24"/>
              </w:rPr>
              <w:t>Población Atendida (PA)</w:t>
            </w:r>
            <w:r w:rsidR="001757B2" w:rsidRPr="0084402E">
              <w:rPr>
                <w:rFonts w:ascii="Arial" w:hAnsi="Arial" w:cs="Arial"/>
                <w:b/>
                <w:sz w:val="24"/>
                <w:szCs w:val="24"/>
                <w:vertAlign w:val="superscript"/>
              </w:rPr>
              <w:t>3</w:t>
            </w:r>
            <w:r w:rsidR="009E556E" w:rsidRPr="0084402E">
              <w:rPr>
                <w:rFonts w:ascii="Arial" w:hAnsi="Arial" w:cs="Arial"/>
                <w:b/>
                <w:sz w:val="24"/>
                <w:szCs w:val="24"/>
                <w:vertAlign w:val="superscript"/>
              </w:rPr>
              <w:t>)</w:t>
            </w:r>
          </w:p>
        </w:tc>
        <w:tc>
          <w:tcPr>
            <w:tcW w:w="0" w:type="auto"/>
          </w:tcPr>
          <w:p w14:paraId="0F967AF9" w14:textId="77777777" w:rsidR="009303A4" w:rsidRPr="0084402E" w:rsidRDefault="009303A4" w:rsidP="007B2E94">
            <w:pPr>
              <w:spacing w:after="100" w:afterAutospacing="1" w:line="360" w:lineRule="auto"/>
              <w:contextualSpacing/>
              <w:jc w:val="both"/>
              <w:rPr>
                <w:rFonts w:ascii="Arial" w:hAnsi="Arial" w:cs="Arial"/>
                <w:b/>
                <w:sz w:val="24"/>
                <w:szCs w:val="24"/>
              </w:rPr>
            </w:pPr>
            <w:r w:rsidRPr="0084402E">
              <w:rPr>
                <w:rFonts w:ascii="Arial" w:hAnsi="Arial" w:cs="Arial"/>
                <w:b/>
                <w:sz w:val="24"/>
                <w:szCs w:val="24"/>
              </w:rPr>
              <w:t>Cobertura del Programa (PA/PP)*100</w:t>
            </w:r>
          </w:p>
        </w:tc>
        <w:tc>
          <w:tcPr>
            <w:tcW w:w="0" w:type="auto"/>
          </w:tcPr>
          <w:p w14:paraId="1AF86991" w14:textId="77777777" w:rsidR="009303A4" w:rsidRPr="0084402E" w:rsidRDefault="009303A4" w:rsidP="007B2E94">
            <w:pPr>
              <w:spacing w:after="100" w:afterAutospacing="1" w:line="360" w:lineRule="auto"/>
              <w:contextualSpacing/>
              <w:jc w:val="both"/>
              <w:rPr>
                <w:rFonts w:ascii="Arial" w:hAnsi="Arial" w:cs="Arial"/>
                <w:b/>
                <w:sz w:val="24"/>
                <w:szCs w:val="24"/>
              </w:rPr>
            </w:pPr>
            <w:r w:rsidRPr="0084402E">
              <w:rPr>
                <w:rFonts w:ascii="Arial" w:hAnsi="Arial" w:cs="Arial"/>
                <w:b/>
                <w:sz w:val="24"/>
                <w:szCs w:val="24"/>
              </w:rPr>
              <w:t>Eficacia de la Cobertura</w:t>
            </w:r>
          </w:p>
          <w:p w14:paraId="46F6A19D" w14:textId="77777777" w:rsidR="009303A4" w:rsidRPr="0084402E" w:rsidRDefault="009303A4" w:rsidP="007B2E94">
            <w:pPr>
              <w:spacing w:after="100" w:afterAutospacing="1" w:line="360" w:lineRule="auto"/>
              <w:contextualSpacing/>
              <w:jc w:val="both"/>
              <w:rPr>
                <w:rFonts w:ascii="Arial" w:hAnsi="Arial" w:cs="Arial"/>
                <w:b/>
                <w:sz w:val="24"/>
                <w:szCs w:val="24"/>
              </w:rPr>
            </w:pPr>
            <w:r w:rsidRPr="0084402E">
              <w:rPr>
                <w:rFonts w:ascii="Arial" w:hAnsi="Arial" w:cs="Arial"/>
                <w:b/>
                <w:sz w:val="24"/>
                <w:szCs w:val="24"/>
              </w:rPr>
              <w:t>(PA/PO)*100</w:t>
            </w:r>
          </w:p>
        </w:tc>
      </w:tr>
      <w:tr w:rsidR="009303A4" w:rsidRPr="0084402E" w14:paraId="7243A89D" w14:textId="77777777" w:rsidTr="007B2E94">
        <w:tc>
          <w:tcPr>
            <w:tcW w:w="0" w:type="auto"/>
          </w:tcPr>
          <w:p w14:paraId="4840B665" w14:textId="77777777" w:rsidR="009303A4" w:rsidRPr="0084402E" w:rsidRDefault="009303A4" w:rsidP="007B2E94">
            <w:pPr>
              <w:spacing w:after="100" w:afterAutospacing="1" w:line="360" w:lineRule="auto"/>
              <w:contextualSpacing/>
              <w:jc w:val="both"/>
              <w:rPr>
                <w:rFonts w:ascii="Arial" w:hAnsi="Arial" w:cs="Arial"/>
                <w:b/>
                <w:sz w:val="24"/>
                <w:szCs w:val="24"/>
              </w:rPr>
            </w:pPr>
            <w:r w:rsidRPr="0084402E">
              <w:rPr>
                <w:rFonts w:ascii="Arial" w:hAnsi="Arial" w:cs="Arial"/>
                <w:b/>
                <w:sz w:val="24"/>
                <w:szCs w:val="24"/>
              </w:rPr>
              <w:t>2014</w:t>
            </w:r>
          </w:p>
        </w:tc>
        <w:tc>
          <w:tcPr>
            <w:tcW w:w="0" w:type="auto"/>
          </w:tcPr>
          <w:p w14:paraId="75A20AA5" w14:textId="77777777" w:rsidR="009303A4" w:rsidRPr="0084402E" w:rsidRDefault="009303A4" w:rsidP="007B2E94">
            <w:pPr>
              <w:spacing w:after="100" w:afterAutospacing="1" w:line="360" w:lineRule="auto"/>
              <w:contextualSpacing/>
              <w:jc w:val="center"/>
              <w:rPr>
                <w:rFonts w:ascii="Arial" w:hAnsi="Arial" w:cs="Arial"/>
                <w:b/>
                <w:sz w:val="24"/>
                <w:szCs w:val="24"/>
              </w:rPr>
            </w:pPr>
            <w:r w:rsidRPr="0084402E">
              <w:rPr>
                <w:b/>
                <w:sz w:val="24"/>
                <w:szCs w:val="24"/>
              </w:rPr>
              <w:t>620,497</w:t>
            </w:r>
          </w:p>
        </w:tc>
        <w:tc>
          <w:tcPr>
            <w:tcW w:w="0" w:type="auto"/>
          </w:tcPr>
          <w:p w14:paraId="647F407E" w14:textId="77777777" w:rsidR="009303A4" w:rsidRPr="0084402E" w:rsidRDefault="009303A4" w:rsidP="007B2E94">
            <w:pPr>
              <w:spacing w:after="100" w:afterAutospacing="1" w:line="360" w:lineRule="auto"/>
              <w:contextualSpacing/>
              <w:jc w:val="center"/>
              <w:rPr>
                <w:rFonts w:ascii="Arial" w:hAnsi="Arial" w:cs="Arial"/>
                <w:b/>
                <w:sz w:val="24"/>
                <w:szCs w:val="24"/>
              </w:rPr>
            </w:pPr>
            <w:r w:rsidRPr="0084402E">
              <w:rPr>
                <w:rFonts w:ascii="Arial" w:hAnsi="Arial" w:cs="Arial"/>
                <w:b/>
                <w:sz w:val="24"/>
                <w:szCs w:val="24"/>
              </w:rPr>
              <w:t>31,025</w:t>
            </w:r>
          </w:p>
        </w:tc>
        <w:tc>
          <w:tcPr>
            <w:tcW w:w="0" w:type="auto"/>
          </w:tcPr>
          <w:p w14:paraId="00DA18FD" w14:textId="77777777" w:rsidR="009303A4" w:rsidRPr="0084402E" w:rsidRDefault="009303A4" w:rsidP="007B2E94">
            <w:pPr>
              <w:spacing w:after="100" w:afterAutospacing="1" w:line="360" w:lineRule="auto"/>
              <w:contextualSpacing/>
              <w:jc w:val="both"/>
              <w:rPr>
                <w:rFonts w:ascii="Arial" w:hAnsi="Arial" w:cs="Arial"/>
                <w:b/>
                <w:sz w:val="24"/>
                <w:szCs w:val="24"/>
              </w:rPr>
            </w:pPr>
            <w:r w:rsidRPr="0084402E">
              <w:rPr>
                <w:rFonts w:ascii="Arial" w:hAnsi="Arial" w:cs="Arial"/>
                <w:b/>
                <w:sz w:val="24"/>
                <w:szCs w:val="24"/>
              </w:rPr>
              <w:t>23,693</w:t>
            </w:r>
          </w:p>
        </w:tc>
        <w:tc>
          <w:tcPr>
            <w:tcW w:w="0" w:type="auto"/>
          </w:tcPr>
          <w:p w14:paraId="49FD5503" w14:textId="77777777" w:rsidR="009303A4" w:rsidRPr="0084402E" w:rsidRDefault="009303A4" w:rsidP="007B2E94">
            <w:pPr>
              <w:spacing w:after="100" w:afterAutospacing="1" w:line="360" w:lineRule="auto"/>
              <w:contextualSpacing/>
              <w:jc w:val="both"/>
              <w:rPr>
                <w:rFonts w:ascii="Arial" w:hAnsi="Arial" w:cs="Arial"/>
                <w:b/>
                <w:sz w:val="24"/>
                <w:szCs w:val="24"/>
              </w:rPr>
            </w:pPr>
            <w:r w:rsidRPr="0084402E">
              <w:rPr>
                <w:rFonts w:ascii="Arial" w:hAnsi="Arial" w:cs="Arial"/>
                <w:b/>
                <w:sz w:val="24"/>
                <w:szCs w:val="24"/>
              </w:rPr>
              <w:t>3.82</w:t>
            </w:r>
          </w:p>
        </w:tc>
        <w:tc>
          <w:tcPr>
            <w:tcW w:w="0" w:type="auto"/>
          </w:tcPr>
          <w:p w14:paraId="16B3294A" w14:textId="77777777" w:rsidR="009303A4" w:rsidRPr="0084402E" w:rsidRDefault="009303A4" w:rsidP="007B2E94">
            <w:pPr>
              <w:spacing w:after="100" w:afterAutospacing="1" w:line="360" w:lineRule="auto"/>
              <w:contextualSpacing/>
              <w:jc w:val="both"/>
              <w:rPr>
                <w:rFonts w:ascii="Arial" w:hAnsi="Arial" w:cs="Arial"/>
                <w:b/>
                <w:sz w:val="24"/>
                <w:szCs w:val="24"/>
              </w:rPr>
            </w:pPr>
            <w:r w:rsidRPr="0084402E">
              <w:rPr>
                <w:rFonts w:ascii="Arial" w:hAnsi="Arial" w:cs="Arial"/>
                <w:b/>
                <w:sz w:val="24"/>
                <w:szCs w:val="24"/>
              </w:rPr>
              <w:t>76.37</w:t>
            </w:r>
          </w:p>
        </w:tc>
      </w:tr>
      <w:tr w:rsidR="009303A4" w:rsidRPr="0084402E" w14:paraId="231828F3" w14:textId="77777777" w:rsidTr="007B2E94">
        <w:tc>
          <w:tcPr>
            <w:tcW w:w="0" w:type="auto"/>
          </w:tcPr>
          <w:p w14:paraId="28A879BC" w14:textId="77777777" w:rsidR="009303A4" w:rsidRPr="0084402E" w:rsidRDefault="009303A4" w:rsidP="007B2E94">
            <w:pPr>
              <w:spacing w:after="100" w:afterAutospacing="1" w:line="360" w:lineRule="auto"/>
              <w:contextualSpacing/>
              <w:jc w:val="both"/>
              <w:rPr>
                <w:rFonts w:ascii="Arial" w:hAnsi="Arial" w:cs="Arial"/>
                <w:b/>
                <w:sz w:val="24"/>
                <w:szCs w:val="24"/>
              </w:rPr>
            </w:pPr>
            <w:r w:rsidRPr="0084402E">
              <w:rPr>
                <w:rFonts w:ascii="Arial" w:hAnsi="Arial" w:cs="Arial"/>
                <w:b/>
                <w:sz w:val="24"/>
                <w:szCs w:val="24"/>
              </w:rPr>
              <w:t>2013</w:t>
            </w:r>
          </w:p>
        </w:tc>
        <w:tc>
          <w:tcPr>
            <w:tcW w:w="0" w:type="auto"/>
          </w:tcPr>
          <w:p w14:paraId="6252EDF2" w14:textId="77777777" w:rsidR="009303A4" w:rsidRPr="0084402E" w:rsidRDefault="009303A4" w:rsidP="007B2E94">
            <w:pPr>
              <w:spacing w:after="100" w:afterAutospacing="1" w:line="360" w:lineRule="auto"/>
              <w:contextualSpacing/>
              <w:jc w:val="center"/>
              <w:rPr>
                <w:rFonts w:ascii="Arial" w:hAnsi="Arial" w:cs="Arial"/>
                <w:b/>
                <w:sz w:val="24"/>
                <w:szCs w:val="24"/>
                <w:vertAlign w:val="superscript"/>
              </w:rPr>
            </w:pPr>
            <w:r w:rsidRPr="0084402E">
              <w:rPr>
                <w:b/>
                <w:sz w:val="24"/>
                <w:szCs w:val="24"/>
              </w:rPr>
              <w:t>623,726</w:t>
            </w:r>
          </w:p>
        </w:tc>
        <w:tc>
          <w:tcPr>
            <w:tcW w:w="0" w:type="auto"/>
          </w:tcPr>
          <w:p w14:paraId="227F5626" w14:textId="77777777" w:rsidR="009303A4" w:rsidRPr="0084402E" w:rsidRDefault="009303A4" w:rsidP="007B2E94">
            <w:pPr>
              <w:spacing w:after="100" w:afterAutospacing="1" w:line="360" w:lineRule="auto"/>
              <w:contextualSpacing/>
              <w:jc w:val="center"/>
              <w:rPr>
                <w:rFonts w:ascii="Arial" w:hAnsi="Arial" w:cs="Arial"/>
                <w:b/>
                <w:sz w:val="24"/>
                <w:szCs w:val="24"/>
              </w:rPr>
            </w:pPr>
            <w:r w:rsidRPr="0084402E">
              <w:rPr>
                <w:rFonts w:ascii="Arial" w:hAnsi="Arial" w:cs="Arial"/>
                <w:b/>
                <w:sz w:val="24"/>
                <w:szCs w:val="24"/>
              </w:rPr>
              <w:t>31,186</w:t>
            </w:r>
          </w:p>
        </w:tc>
        <w:tc>
          <w:tcPr>
            <w:tcW w:w="0" w:type="auto"/>
          </w:tcPr>
          <w:p w14:paraId="0A18C59A" w14:textId="77777777" w:rsidR="009303A4" w:rsidRPr="0084402E" w:rsidRDefault="009303A4" w:rsidP="00B03CB5">
            <w:pPr>
              <w:spacing w:after="100" w:afterAutospacing="1" w:line="360" w:lineRule="auto"/>
              <w:contextualSpacing/>
              <w:jc w:val="both"/>
              <w:rPr>
                <w:rFonts w:ascii="Arial" w:hAnsi="Arial" w:cs="Arial"/>
                <w:b/>
                <w:sz w:val="24"/>
                <w:szCs w:val="24"/>
              </w:rPr>
            </w:pPr>
            <w:r w:rsidRPr="0084402E">
              <w:rPr>
                <w:rFonts w:ascii="Arial" w:hAnsi="Arial" w:cs="Arial"/>
                <w:b/>
                <w:sz w:val="24"/>
                <w:szCs w:val="24"/>
              </w:rPr>
              <w:t>22,555</w:t>
            </w:r>
          </w:p>
        </w:tc>
        <w:tc>
          <w:tcPr>
            <w:tcW w:w="0" w:type="auto"/>
          </w:tcPr>
          <w:p w14:paraId="73615798" w14:textId="77777777" w:rsidR="009303A4" w:rsidRPr="0084402E" w:rsidRDefault="009303A4" w:rsidP="007B2E94">
            <w:pPr>
              <w:spacing w:after="100" w:afterAutospacing="1" w:line="360" w:lineRule="auto"/>
              <w:contextualSpacing/>
              <w:jc w:val="both"/>
              <w:rPr>
                <w:rFonts w:ascii="Arial" w:hAnsi="Arial" w:cs="Arial"/>
                <w:b/>
                <w:sz w:val="24"/>
                <w:szCs w:val="24"/>
              </w:rPr>
            </w:pPr>
            <w:r w:rsidRPr="0084402E">
              <w:rPr>
                <w:rFonts w:ascii="Arial" w:hAnsi="Arial" w:cs="Arial"/>
                <w:b/>
                <w:sz w:val="24"/>
                <w:szCs w:val="24"/>
              </w:rPr>
              <w:t>3.62</w:t>
            </w:r>
          </w:p>
        </w:tc>
        <w:tc>
          <w:tcPr>
            <w:tcW w:w="0" w:type="auto"/>
          </w:tcPr>
          <w:p w14:paraId="786A5A53" w14:textId="77777777" w:rsidR="009303A4" w:rsidRPr="0084402E" w:rsidRDefault="009303A4" w:rsidP="007B2E94">
            <w:pPr>
              <w:spacing w:after="100" w:afterAutospacing="1" w:line="360" w:lineRule="auto"/>
              <w:contextualSpacing/>
              <w:jc w:val="both"/>
              <w:rPr>
                <w:rFonts w:ascii="Arial" w:hAnsi="Arial" w:cs="Arial"/>
                <w:b/>
                <w:sz w:val="24"/>
                <w:szCs w:val="24"/>
              </w:rPr>
            </w:pPr>
            <w:r w:rsidRPr="0084402E">
              <w:rPr>
                <w:rFonts w:ascii="Arial" w:hAnsi="Arial" w:cs="Arial"/>
                <w:b/>
                <w:sz w:val="24"/>
                <w:szCs w:val="24"/>
              </w:rPr>
              <w:t>72.32</w:t>
            </w:r>
          </w:p>
        </w:tc>
      </w:tr>
    </w:tbl>
    <w:p w14:paraId="70E7C36C" w14:textId="0823E222" w:rsidR="001757B2" w:rsidRPr="0084402E" w:rsidRDefault="007B2E94" w:rsidP="001757B2">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FUENTE: </w:t>
      </w:r>
      <w:r w:rsidR="005F4771" w:rsidRPr="005F4771">
        <w:rPr>
          <w:rFonts w:ascii="Arial" w:eastAsia="Times New Roman" w:hAnsi="Arial" w:cs="Arial"/>
          <w:b/>
          <w:color w:val="000000"/>
          <w:sz w:val="20"/>
          <w:szCs w:val="24"/>
          <w:lang w:eastAsia="es-MX"/>
        </w:rPr>
        <w:t xml:space="preserve">Fuente: INDETEC </w:t>
      </w:r>
    </w:p>
    <w:p w14:paraId="0640FB93" w14:textId="77777777" w:rsidR="002A4329" w:rsidRPr="00DE616D" w:rsidRDefault="007B2E94" w:rsidP="001757B2">
      <w:pPr>
        <w:spacing w:after="0" w:line="360" w:lineRule="auto"/>
        <w:jc w:val="both"/>
        <w:rPr>
          <w:rFonts w:ascii="Arial" w:eastAsiaTheme="minorEastAsia" w:hAnsi="Arial" w:cs="Arial"/>
          <w:sz w:val="16"/>
          <w:szCs w:val="24"/>
        </w:rPr>
      </w:pPr>
      <w:r w:rsidRPr="00DE616D">
        <w:rPr>
          <w:rFonts w:ascii="Arial" w:eastAsiaTheme="minorEastAsia" w:hAnsi="Arial" w:cs="Arial"/>
          <w:sz w:val="16"/>
          <w:szCs w:val="24"/>
        </w:rPr>
        <w:t>1) INEA estimaciones de rezago educativo por entidad federativa al 31 de diciembre de 2013 y al 31 de diciembre de 2014:</w:t>
      </w:r>
    </w:p>
    <w:p w14:paraId="05FFFB44" w14:textId="77777777" w:rsidR="009303A4" w:rsidRPr="00DE616D" w:rsidRDefault="002A7AE0" w:rsidP="001757B2">
      <w:pPr>
        <w:spacing w:after="0" w:line="360" w:lineRule="auto"/>
        <w:jc w:val="both"/>
        <w:rPr>
          <w:rFonts w:ascii="Arial" w:eastAsiaTheme="minorEastAsia" w:hAnsi="Arial" w:cs="Arial"/>
          <w:sz w:val="16"/>
          <w:szCs w:val="24"/>
        </w:rPr>
      </w:pPr>
      <w:hyperlink r:id="rId11" w:history="1">
        <w:r w:rsidR="007B2E94" w:rsidRPr="00DE616D">
          <w:rPr>
            <w:rStyle w:val="Hipervnculo"/>
            <w:rFonts w:ascii="Arial" w:eastAsiaTheme="minorEastAsia" w:hAnsi="Arial" w:cs="Arial"/>
            <w:sz w:val="16"/>
            <w:szCs w:val="24"/>
          </w:rPr>
          <w:t>http://www.inea.gob.mx/transparencia/pdf/Estimacion_rezago_2013.pdf</w:t>
        </w:r>
      </w:hyperlink>
      <w:r w:rsidR="007B2E94" w:rsidRPr="00DE616D">
        <w:rPr>
          <w:sz w:val="16"/>
          <w:szCs w:val="24"/>
        </w:rPr>
        <w:t xml:space="preserve"> </w:t>
      </w:r>
      <w:hyperlink r:id="rId12" w:history="1">
        <w:r w:rsidR="007B2E94" w:rsidRPr="00DE616D">
          <w:rPr>
            <w:rStyle w:val="Hipervnculo"/>
            <w:rFonts w:ascii="Arial" w:eastAsiaTheme="minorEastAsia" w:hAnsi="Arial" w:cs="Arial"/>
            <w:sz w:val="16"/>
            <w:szCs w:val="24"/>
          </w:rPr>
          <w:t>http://www.inea.gob.mx/transparencia/pdf/Estimacion_rezago_2014.pdf</w:t>
        </w:r>
      </w:hyperlink>
    </w:p>
    <w:p w14:paraId="48571068" w14:textId="77777777" w:rsidR="001757B2" w:rsidRPr="00DE616D" w:rsidRDefault="002A4329" w:rsidP="001757B2">
      <w:pPr>
        <w:spacing w:after="0" w:line="360" w:lineRule="auto"/>
        <w:jc w:val="both"/>
        <w:rPr>
          <w:rFonts w:ascii="Arial" w:eastAsiaTheme="minorEastAsia" w:hAnsi="Arial" w:cs="Arial"/>
          <w:sz w:val="16"/>
          <w:szCs w:val="24"/>
        </w:rPr>
      </w:pPr>
      <w:r w:rsidRPr="00DE616D">
        <w:rPr>
          <w:rFonts w:ascii="Arial" w:eastAsiaTheme="minorEastAsia" w:hAnsi="Arial" w:cs="Arial"/>
          <w:sz w:val="16"/>
          <w:szCs w:val="24"/>
        </w:rPr>
        <w:t>2)</w:t>
      </w:r>
      <w:r w:rsidR="001757B2" w:rsidRPr="00DE616D">
        <w:rPr>
          <w:rFonts w:ascii="Arial" w:eastAsiaTheme="minorEastAsia" w:hAnsi="Arial" w:cs="Arial"/>
          <w:sz w:val="16"/>
          <w:szCs w:val="24"/>
        </w:rPr>
        <w:t xml:space="preserve"> </w:t>
      </w:r>
      <w:r w:rsidRPr="00DE616D">
        <w:rPr>
          <w:rFonts w:ascii="Arial" w:eastAsiaTheme="minorEastAsia" w:hAnsi="Arial" w:cs="Arial"/>
          <w:sz w:val="16"/>
          <w:szCs w:val="24"/>
        </w:rPr>
        <w:t>Se obtuvo de acuerdo con lo establecido en el POA</w:t>
      </w:r>
      <w:r w:rsidR="009C3AA6" w:rsidRPr="00DE616D">
        <w:rPr>
          <w:rFonts w:ascii="Arial" w:eastAsiaTheme="minorEastAsia" w:hAnsi="Arial" w:cs="Arial"/>
          <w:sz w:val="16"/>
          <w:szCs w:val="24"/>
        </w:rPr>
        <w:t xml:space="preserve"> de la actividad programática “Atención a la población joven y adulta de 15 años en adelante a través del IEAEY”</w:t>
      </w:r>
      <w:r w:rsidR="001757B2" w:rsidRPr="00DE616D">
        <w:rPr>
          <w:rFonts w:ascii="Arial" w:eastAsiaTheme="minorEastAsia" w:hAnsi="Arial" w:cs="Arial"/>
          <w:sz w:val="16"/>
          <w:szCs w:val="24"/>
        </w:rPr>
        <w:t xml:space="preserve"> en el sentido de que la población objetivo es el 5% de la población potencial o en rezago educativo.</w:t>
      </w:r>
    </w:p>
    <w:p w14:paraId="4F1D422B" w14:textId="77777777" w:rsidR="002A4329" w:rsidRPr="00DE616D" w:rsidRDefault="001757B2" w:rsidP="001757B2">
      <w:pPr>
        <w:spacing w:after="0" w:line="360" w:lineRule="auto"/>
        <w:jc w:val="both"/>
        <w:rPr>
          <w:rFonts w:ascii="Arial" w:eastAsiaTheme="minorEastAsia" w:hAnsi="Arial" w:cs="Arial"/>
          <w:sz w:val="16"/>
          <w:szCs w:val="24"/>
        </w:rPr>
      </w:pPr>
      <w:r w:rsidRPr="00DE616D">
        <w:rPr>
          <w:rFonts w:ascii="Arial" w:eastAsiaTheme="minorEastAsia" w:hAnsi="Arial" w:cs="Arial"/>
          <w:sz w:val="16"/>
          <w:szCs w:val="24"/>
        </w:rPr>
        <w:t>3)  Cif</w:t>
      </w:r>
      <w:r w:rsidR="000135DF" w:rsidRPr="00DE616D">
        <w:rPr>
          <w:rFonts w:ascii="Arial" w:eastAsiaTheme="minorEastAsia" w:hAnsi="Arial" w:cs="Arial"/>
          <w:sz w:val="16"/>
          <w:szCs w:val="24"/>
        </w:rPr>
        <w:t>ras proporcionadas por el IEAEY.</w:t>
      </w:r>
    </w:p>
    <w:p w14:paraId="3080440A" w14:textId="77777777" w:rsidR="009303A4" w:rsidRPr="0084402E" w:rsidRDefault="009303A4" w:rsidP="001757B2">
      <w:pPr>
        <w:spacing w:after="0" w:line="360" w:lineRule="auto"/>
        <w:jc w:val="both"/>
        <w:rPr>
          <w:rFonts w:ascii="Arial" w:eastAsiaTheme="minorEastAsia" w:hAnsi="Arial" w:cs="Arial"/>
          <w:sz w:val="24"/>
          <w:szCs w:val="24"/>
        </w:rPr>
      </w:pPr>
    </w:p>
    <w:p w14:paraId="43BEF3FF" w14:textId="77777777" w:rsidR="008C5C73" w:rsidRPr="0084402E" w:rsidRDefault="009B6249" w:rsidP="009B6249">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Para hacer un análisis más preciso de la evolución en la cobertura se tomó como población potencial para 2013 la cifra estimada por el INEA a partir de la informaci</w:t>
      </w:r>
      <w:r w:rsidR="006F3404" w:rsidRPr="0084402E">
        <w:rPr>
          <w:rFonts w:ascii="Arial" w:eastAsiaTheme="minorEastAsia" w:hAnsi="Arial" w:cs="Arial"/>
          <w:sz w:val="24"/>
          <w:szCs w:val="24"/>
        </w:rPr>
        <w:t xml:space="preserve">ón del Censo 2010 del INEGI, </w:t>
      </w:r>
      <w:r w:rsidR="006F3404" w:rsidRPr="00DE616D">
        <w:rPr>
          <w:rFonts w:ascii="Arial" w:eastAsiaTheme="minorEastAsia" w:hAnsi="Arial" w:cs="Arial"/>
          <w:sz w:val="24"/>
          <w:szCs w:val="24"/>
        </w:rPr>
        <w:t>623,726</w:t>
      </w:r>
      <w:r w:rsidR="00F418AE" w:rsidRPr="00DE616D">
        <w:rPr>
          <w:rFonts w:ascii="Arial" w:eastAsiaTheme="minorEastAsia" w:hAnsi="Arial" w:cs="Arial"/>
          <w:sz w:val="24"/>
          <w:szCs w:val="24"/>
        </w:rPr>
        <w:t xml:space="preserve"> personas con rezago educativo</w:t>
      </w:r>
      <w:r w:rsidR="006F3404" w:rsidRPr="00DE616D">
        <w:rPr>
          <w:rFonts w:ascii="Arial" w:eastAsiaTheme="minorEastAsia" w:hAnsi="Arial" w:cs="Arial"/>
          <w:sz w:val="24"/>
          <w:szCs w:val="24"/>
        </w:rPr>
        <w:t>,</w:t>
      </w:r>
      <w:r w:rsidR="006F3404" w:rsidRPr="0084402E">
        <w:rPr>
          <w:rFonts w:ascii="Arial" w:eastAsiaTheme="minorEastAsia" w:hAnsi="Arial" w:cs="Arial"/>
          <w:sz w:val="24"/>
          <w:szCs w:val="24"/>
        </w:rPr>
        <w:t xml:space="preserve"> cifra</w:t>
      </w:r>
      <w:r w:rsidR="00F418AE" w:rsidRPr="0084402E">
        <w:rPr>
          <w:rFonts w:ascii="Arial" w:eastAsiaTheme="minorEastAsia" w:hAnsi="Arial" w:cs="Arial"/>
          <w:sz w:val="24"/>
          <w:szCs w:val="24"/>
        </w:rPr>
        <w:t xml:space="preserve"> considerada </w:t>
      </w:r>
      <w:r w:rsidRPr="0084402E">
        <w:rPr>
          <w:rFonts w:ascii="Arial" w:eastAsiaTheme="minorEastAsia" w:hAnsi="Arial" w:cs="Arial"/>
          <w:sz w:val="24"/>
          <w:szCs w:val="24"/>
        </w:rPr>
        <w:t>en el POA 2014 de la actividad programática “Atención a la población joven y adulta de 15 años en adelante a través del IEAEY”,</w:t>
      </w:r>
      <w:r w:rsidR="006F3404" w:rsidRPr="0084402E">
        <w:rPr>
          <w:rFonts w:ascii="Arial" w:eastAsiaTheme="minorEastAsia" w:hAnsi="Arial" w:cs="Arial"/>
          <w:sz w:val="24"/>
          <w:szCs w:val="24"/>
        </w:rPr>
        <w:t xml:space="preserve"> ello</w:t>
      </w:r>
      <w:r w:rsidRPr="0084402E">
        <w:rPr>
          <w:rFonts w:ascii="Arial" w:eastAsiaTheme="minorEastAsia" w:hAnsi="Arial" w:cs="Arial"/>
          <w:sz w:val="24"/>
          <w:szCs w:val="24"/>
        </w:rPr>
        <w:t xml:space="preserve"> </w:t>
      </w:r>
      <w:r w:rsidR="006F3404" w:rsidRPr="0084402E">
        <w:rPr>
          <w:rFonts w:ascii="Arial" w:eastAsiaTheme="minorEastAsia" w:hAnsi="Arial" w:cs="Arial"/>
          <w:sz w:val="24"/>
          <w:szCs w:val="24"/>
        </w:rPr>
        <w:t>debido</w:t>
      </w:r>
      <w:r w:rsidRPr="0084402E">
        <w:rPr>
          <w:rFonts w:ascii="Arial" w:eastAsiaTheme="minorEastAsia" w:hAnsi="Arial" w:cs="Arial"/>
          <w:sz w:val="24"/>
          <w:szCs w:val="24"/>
        </w:rPr>
        <w:t xml:space="preserve"> que existen estimaciones posteriores, </w:t>
      </w:r>
      <w:r w:rsidR="006F3404" w:rsidRPr="0084402E">
        <w:rPr>
          <w:rFonts w:ascii="Arial" w:eastAsiaTheme="minorEastAsia" w:hAnsi="Arial" w:cs="Arial"/>
          <w:sz w:val="24"/>
          <w:szCs w:val="24"/>
        </w:rPr>
        <w:t xml:space="preserve">a decir, las </w:t>
      </w:r>
      <w:r w:rsidRPr="0084402E">
        <w:rPr>
          <w:rFonts w:ascii="Arial" w:eastAsiaTheme="minorEastAsia" w:hAnsi="Arial" w:cs="Arial"/>
          <w:sz w:val="24"/>
          <w:szCs w:val="24"/>
        </w:rPr>
        <w:t xml:space="preserve"> </w:t>
      </w:r>
      <w:r w:rsidRPr="0084402E">
        <w:rPr>
          <w:rFonts w:ascii="Arial" w:eastAsiaTheme="minorEastAsia" w:hAnsi="Arial" w:cs="Arial"/>
          <w:i/>
          <w:sz w:val="24"/>
          <w:szCs w:val="24"/>
        </w:rPr>
        <w:lastRenderedPageBreak/>
        <w:t>Estimaciones de rezago educativo al 31 de diciembre de 2013</w:t>
      </w:r>
      <w:r w:rsidRPr="0084402E">
        <w:rPr>
          <w:rFonts w:ascii="Arial" w:eastAsiaTheme="minorEastAsia" w:hAnsi="Arial" w:cs="Arial"/>
          <w:sz w:val="24"/>
          <w:szCs w:val="24"/>
        </w:rPr>
        <w:t xml:space="preserve"> del INEA</w:t>
      </w:r>
      <w:r w:rsidR="000157DC" w:rsidRPr="0084402E">
        <w:rPr>
          <w:rStyle w:val="Refdenotaalpie"/>
          <w:rFonts w:ascii="Arial" w:eastAsiaTheme="minorEastAsia" w:hAnsi="Arial" w:cs="Arial"/>
          <w:sz w:val="24"/>
          <w:szCs w:val="24"/>
        </w:rPr>
        <w:footnoteReference w:id="2"/>
      </w:r>
      <w:r w:rsidR="006F3404" w:rsidRPr="0084402E">
        <w:rPr>
          <w:rFonts w:ascii="Arial" w:eastAsiaTheme="minorEastAsia" w:hAnsi="Arial" w:cs="Arial"/>
          <w:sz w:val="24"/>
          <w:szCs w:val="24"/>
        </w:rPr>
        <w:t>, que se toman como población potencial para 2014 en este análisis</w:t>
      </w:r>
      <w:r w:rsidR="004F4B0A" w:rsidRPr="0084402E">
        <w:rPr>
          <w:rFonts w:ascii="Arial" w:eastAsiaTheme="minorEastAsia" w:hAnsi="Arial" w:cs="Arial"/>
          <w:sz w:val="24"/>
          <w:szCs w:val="24"/>
        </w:rPr>
        <w:t>.</w:t>
      </w:r>
      <w:r w:rsidR="006F3404" w:rsidRPr="0084402E">
        <w:rPr>
          <w:rFonts w:ascii="Arial" w:eastAsiaTheme="minorEastAsia" w:hAnsi="Arial" w:cs="Arial"/>
          <w:sz w:val="24"/>
          <w:szCs w:val="24"/>
        </w:rPr>
        <w:t xml:space="preserve"> </w:t>
      </w:r>
    </w:p>
    <w:p w14:paraId="2ADCF469" w14:textId="77777777" w:rsidR="00F04542" w:rsidRPr="0084402E" w:rsidRDefault="00F04542" w:rsidP="009B6249">
      <w:pPr>
        <w:spacing w:after="0" w:line="360" w:lineRule="auto"/>
        <w:jc w:val="both"/>
        <w:rPr>
          <w:rFonts w:ascii="Arial" w:eastAsiaTheme="minorEastAsia" w:hAnsi="Arial" w:cs="Arial"/>
          <w:sz w:val="24"/>
          <w:szCs w:val="24"/>
        </w:rPr>
      </w:pPr>
    </w:p>
    <w:p w14:paraId="0FA3589A" w14:textId="77777777" w:rsidR="007C7FB1" w:rsidRPr="0084402E" w:rsidRDefault="007770FC" w:rsidP="009B6249">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Se observa que la cobertura del programa es relativamente limitada en relación con la dimensión de la problemática, pues en el ejercicio </w:t>
      </w:r>
      <w:r w:rsidR="00C7607B" w:rsidRPr="0084402E">
        <w:rPr>
          <w:rFonts w:ascii="Arial" w:eastAsiaTheme="minorEastAsia" w:hAnsi="Arial" w:cs="Arial"/>
          <w:sz w:val="24"/>
          <w:szCs w:val="24"/>
        </w:rPr>
        <w:t xml:space="preserve">2014 </w:t>
      </w:r>
      <w:r w:rsidRPr="0084402E">
        <w:rPr>
          <w:rFonts w:ascii="Arial" w:eastAsiaTheme="minorEastAsia" w:hAnsi="Arial" w:cs="Arial"/>
          <w:sz w:val="24"/>
          <w:szCs w:val="24"/>
        </w:rPr>
        <w:t xml:space="preserve">se atendió apenas al 3.8% de la población estimada en rezago educativo para </w:t>
      </w:r>
      <w:r w:rsidR="00C7607B" w:rsidRPr="0084402E">
        <w:rPr>
          <w:rFonts w:ascii="Arial" w:eastAsiaTheme="minorEastAsia" w:hAnsi="Arial" w:cs="Arial"/>
          <w:sz w:val="24"/>
          <w:szCs w:val="24"/>
        </w:rPr>
        <w:t>ese año</w:t>
      </w:r>
      <w:r w:rsidRPr="0084402E">
        <w:rPr>
          <w:rFonts w:ascii="Arial" w:eastAsiaTheme="minorEastAsia" w:hAnsi="Arial" w:cs="Arial"/>
          <w:sz w:val="24"/>
          <w:szCs w:val="24"/>
        </w:rPr>
        <w:t xml:space="preserve">. </w:t>
      </w:r>
      <w:r w:rsidR="007C7FB1" w:rsidRPr="0084402E">
        <w:rPr>
          <w:rFonts w:ascii="Arial" w:eastAsiaTheme="minorEastAsia" w:hAnsi="Arial" w:cs="Arial"/>
          <w:sz w:val="24"/>
          <w:szCs w:val="24"/>
        </w:rPr>
        <w:t>La situación en el año anterior es similar. En 2014 la cobertura aumentó, con respecto de 2013 sólo 5.05%</w:t>
      </w:r>
      <w:r w:rsidR="004D058F" w:rsidRPr="0084402E">
        <w:rPr>
          <w:rFonts w:ascii="Arial" w:eastAsiaTheme="minorEastAsia" w:hAnsi="Arial" w:cs="Arial"/>
          <w:sz w:val="24"/>
          <w:szCs w:val="24"/>
        </w:rPr>
        <w:t xml:space="preserve">, y la eficacia de la cobertura tuvo un incremento similar de 5.6%.  Ello es congruente con el comportamiento de las variables de población atendida que se incrementó 5.05% de un año a otro y la leve disminución de la población potencial. </w:t>
      </w:r>
    </w:p>
    <w:p w14:paraId="088AD30E" w14:textId="77777777" w:rsidR="004D058F" w:rsidRPr="0084402E" w:rsidRDefault="004D058F" w:rsidP="009B6249">
      <w:pPr>
        <w:spacing w:after="0" w:line="360" w:lineRule="auto"/>
        <w:jc w:val="both"/>
        <w:rPr>
          <w:rFonts w:ascii="Arial" w:eastAsiaTheme="minorEastAsia" w:hAnsi="Arial" w:cs="Arial"/>
          <w:sz w:val="24"/>
          <w:szCs w:val="24"/>
        </w:rPr>
      </w:pPr>
    </w:p>
    <w:p w14:paraId="50CF8206" w14:textId="3D7C76F2" w:rsidR="004D058F" w:rsidRPr="0084402E" w:rsidRDefault="00B97A0B" w:rsidP="009B6249">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Relacionando la cobertura con los recursos que destinan al programa, s</w:t>
      </w:r>
      <w:r w:rsidR="004D7A34" w:rsidRPr="0084402E">
        <w:rPr>
          <w:rFonts w:ascii="Arial" w:eastAsiaTheme="minorEastAsia" w:hAnsi="Arial" w:cs="Arial"/>
          <w:sz w:val="24"/>
          <w:szCs w:val="24"/>
        </w:rPr>
        <w:t>í</w:t>
      </w:r>
      <w:r w:rsidR="006442E5" w:rsidRPr="0084402E">
        <w:rPr>
          <w:rFonts w:ascii="Arial" w:eastAsiaTheme="minorEastAsia" w:hAnsi="Arial" w:cs="Arial"/>
          <w:sz w:val="24"/>
          <w:szCs w:val="24"/>
        </w:rPr>
        <w:t xml:space="preserve"> se observa la evolución de los recursos que ha tenido el Fondo, por lo menos desde el 2001, en términos reales </w:t>
      </w:r>
      <w:r w:rsidR="003E6DBF" w:rsidRPr="0084402E">
        <w:rPr>
          <w:rFonts w:ascii="Arial" w:eastAsiaTheme="minorEastAsia" w:hAnsi="Arial" w:cs="Arial"/>
          <w:sz w:val="24"/>
          <w:szCs w:val="24"/>
        </w:rPr>
        <w:t xml:space="preserve">los recursos del Fondo transferidos al estado de Yucatán no </w:t>
      </w:r>
      <w:r w:rsidR="00F04542" w:rsidRPr="0084402E">
        <w:rPr>
          <w:rFonts w:ascii="Arial" w:eastAsiaTheme="minorEastAsia" w:hAnsi="Arial" w:cs="Arial"/>
          <w:sz w:val="24"/>
          <w:szCs w:val="24"/>
        </w:rPr>
        <w:t xml:space="preserve">se </w:t>
      </w:r>
      <w:r w:rsidR="003E6DBF" w:rsidRPr="0084402E">
        <w:rPr>
          <w:rFonts w:ascii="Arial" w:eastAsiaTheme="minorEastAsia" w:hAnsi="Arial" w:cs="Arial"/>
          <w:sz w:val="24"/>
          <w:szCs w:val="24"/>
        </w:rPr>
        <w:t>ha</w:t>
      </w:r>
      <w:r w:rsidR="00F04542" w:rsidRPr="0084402E">
        <w:rPr>
          <w:rFonts w:ascii="Arial" w:eastAsiaTheme="minorEastAsia" w:hAnsi="Arial" w:cs="Arial"/>
          <w:sz w:val="24"/>
          <w:szCs w:val="24"/>
        </w:rPr>
        <w:t>n</w:t>
      </w:r>
      <w:r w:rsidR="003E6DBF" w:rsidRPr="0084402E">
        <w:rPr>
          <w:rFonts w:ascii="Arial" w:eastAsiaTheme="minorEastAsia" w:hAnsi="Arial" w:cs="Arial"/>
          <w:sz w:val="24"/>
          <w:szCs w:val="24"/>
        </w:rPr>
        <w:t xml:space="preserve"> incrementado, incluso la variación porcentual promedio es negativa de acuerdo con</w:t>
      </w:r>
      <w:r w:rsidR="008E5285" w:rsidRPr="0084402E">
        <w:rPr>
          <w:rFonts w:ascii="Arial" w:eastAsiaTheme="minorEastAsia" w:hAnsi="Arial" w:cs="Arial"/>
          <w:sz w:val="24"/>
          <w:szCs w:val="24"/>
        </w:rPr>
        <w:t xml:space="preserve"> el análisis de las</w:t>
      </w:r>
      <w:r w:rsidR="003E6DBF" w:rsidRPr="0084402E">
        <w:rPr>
          <w:rFonts w:ascii="Arial" w:eastAsiaTheme="minorEastAsia" w:hAnsi="Arial" w:cs="Arial"/>
          <w:sz w:val="24"/>
          <w:szCs w:val="24"/>
        </w:rPr>
        <w:t xml:space="preserve"> estadísticas del Instituto Nacional de Evaluación de la Educación, </w:t>
      </w:r>
      <w:r w:rsidR="004D058F" w:rsidRPr="0084402E">
        <w:rPr>
          <w:rFonts w:ascii="Arial" w:eastAsiaTheme="minorEastAsia" w:hAnsi="Arial" w:cs="Arial"/>
          <w:sz w:val="24"/>
          <w:szCs w:val="24"/>
        </w:rPr>
        <w:t>(ver Anexo II).  E</w:t>
      </w:r>
      <w:r w:rsidR="003E6DBF" w:rsidRPr="0084402E">
        <w:rPr>
          <w:rFonts w:ascii="Arial" w:eastAsiaTheme="minorEastAsia" w:hAnsi="Arial" w:cs="Arial"/>
          <w:sz w:val="24"/>
          <w:szCs w:val="24"/>
        </w:rPr>
        <w:t>n términos nominales el incremento</w:t>
      </w:r>
      <w:r w:rsidR="004D058F" w:rsidRPr="0084402E">
        <w:rPr>
          <w:rFonts w:ascii="Arial" w:eastAsiaTheme="minorEastAsia" w:hAnsi="Arial" w:cs="Arial"/>
          <w:sz w:val="24"/>
          <w:szCs w:val="24"/>
        </w:rPr>
        <w:t xml:space="preserve"> promedio</w:t>
      </w:r>
      <w:r w:rsidR="003E6DBF" w:rsidRPr="0084402E">
        <w:rPr>
          <w:rFonts w:ascii="Arial" w:eastAsiaTheme="minorEastAsia" w:hAnsi="Arial" w:cs="Arial"/>
          <w:sz w:val="24"/>
          <w:szCs w:val="24"/>
        </w:rPr>
        <w:t xml:space="preserve"> es de 4.8 por ciento, lo </w:t>
      </w:r>
      <w:r w:rsidR="00F04542" w:rsidRPr="0084402E">
        <w:rPr>
          <w:rFonts w:ascii="Arial" w:eastAsiaTheme="minorEastAsia" w:hAnsi="Arial" w:cs="Arial"/>
          <w:sz w:val="24"/>
          <w:szCs w:val="24"/>
        </w:rPr>
        <w:t xml:space="preserve">que </w:t>
      </w:r>
      <w:r w:rsidR="003E6DBF" w:rsidRPr="0084402E">
        <w:rPr>
          <w:rFonts w:ascii="Arial" w:eastAsiaTheme="minorEastAsia" w:hAnsi="Arial" w:cs="Arial"/>
          <w:sz w:val="24"/>
          <w:szCs w:val="24"/>
        </w:rPr>
        <w:t xml:space="preserve">se considera insuficiente para logar un incremento significativo de la cobertura. </w:t>
      </w:r>
    </w:p>
    <w:p w14:paraId="43BBF406" w14:textId="77777777" w:rsidR="004D058F" w:rsidRPr="0084402E" w:rsidRDefault="004D058F" w:rsidP="009B6249">
      <w:pPr>
        <w:spacing w:after="0" w:line="360" w:lineRule="auto"/>
        <w:jc w:val="both"/>
        <w:rPr>
          <w:rFonts w:ascii="Arial" w:eastAsiaTheme="minorEastAsia" w:hAnsi="Arial" w:cs="Arial"/>
          <w:sz w:val="24"/>
          <w:szCs w:val="24"/>
        </w:rPr>
      </w:pPr>
    </w:p>
    <w:p w14:paraId="1C8D6DD6" w14:textId="5C63673E" w:rsidR="004D058F" w:rsidRPr="0084402E" w:rsidRDefault="004D058F" w:rsidP="009B6249">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No obstante, los recursos del Fondo para 2014 aumentaron en 8.54% con respecto de 2013, un incremento nominal mayor al incremento nominal promedio de los últimos años (4.8%). Por otra parte destaca un incremento sustantivo en los recursos complementarios del Fondo, que suman al presupuesto del IEAEY, que según </w:t>
      </w:r>
      <w:r w:rsidR="008F6988" w:rsidRPr="0084402E">
        <w:rPr>
          <w:rFonts w:ascii="Arial" w:eastAsiaTheme="minorEastAsia" w:hAnsi="Arial" w:cs="Arial"/>
          <w:sz w:val="24"/>
          <w:szCs w:val="24"/>
        </w:rPr>
        <w:t xml:space="preserve">indicó el </w:t>
      </w:r>
      <w:r w:rsidR="008E5285" w:rsidRPr="0084402E">
        <w:rPr>
          <w:rFonts w:ascii="Arial" w:eastAsiaTheme="minorEastAsia" w:hAnsi="Arial" w:cs="Arial"/>
          <w:sz w:val="24"/>
          <w:szCs w:val="24"/>
        </w:rPr>
        <w:t xml:space="preserve">propio </w:t>
      </w:r>
      <w:r w:rsidR="008F6988" w:rsidRPr="0084402E">
        <w:rPr>
          <w:rFonts w:ascii="Arial" w:eastAsiaTheme="minorEastAsia" w:hAnsi="Arial" w:cs="Arial"/>
          <w:sz w:val="24"/>
          <w:szCs w:val="24"/>
        </w:rPr>
        <w:t>Instituto provienen del Ramo 11</w:t>
      </w:r>
      <w:r w:rsidRPr="0084402E">
        <w:rPr>
          <w:rFonts w:ascii="Arial" w:eastAsiaTheme="minorEastAsia" w:hAnsi="Arial" w:cs="Arial"/>
          <w:sz w:val="24"/>
          <w:szCs w:val="24"/>
        </w:rPr>
        <w:t xml:space="preserve"> y son transferidos por el INEA.</w:t>
      </w:r>
      <w:r w:rsidR="008F6988" w:rsidRPr="0084402E">
        <w:rPr>
          <w:rFonts w:ascii="Arial" w:eastAsiaTheme="minorEastAsia" w:hAnsi="Arial" w:cs="Arial"/>
          <w:sz w:val="24"/>
          <w:szCs w:val="24"/>
        </w:rPr>
        <w:t xml:space="preserve"> Derivado de ello el presupuesto del programa tiene un</w:t>
      </w:r>
      <w:r w:rsidR="008E5285" w:rsidRPr="0084402E">
        <w:rPr>
          <w:rFonts w:ascii="Arial" w:eastAsiaTheme="minorEastAsia" w:hAnsi="Arial" w:cs="Arial"/>
          <w:sz w:val="24"/>
          <w:szCs w:val="24"/>
        </w:rPr>
        <w:t>a variación en términos</w:t>
      </w:r>
      <w:r w:rsidR="008F6988" w:rsidRPr="0084402E">
        <w:rPr>
          <w:rFonts w:ascii="Arial" w:eastAsiaTheme="minorEastAsia" w:hAnsi="Arial" w:cs="Arial"/>
          <w:sz w:val="24"/>
          <w:szCs w:val="24"/>
        </w:rPr>
        <w:t xml:space="preserve"> nominal</w:t>
      </w:r>
      <w:r w:rsidR="00CB36FB" w:rsidRPr="0084402E">
        <w:rPr>
          <w:rFonts w:ascii="Arial" w:eastAsiaTheme="minorEastAsia" w:hAnsi="Arial" w:cs="Arial"/>
          <w:sz w:val="24"/>
          <w:szCs w:val="24"/>
        </w:rPr>
        <w:t>es</w:t>
      </w:r>
      <w:r w:rsidR="008F6988" w:rsidRPr="0084402E">
        <w:rPr>
          <w:rFonts w:ascii="Arial" w:eastAsiaTheme="minorEastAsia" w:hAnsi="Arial" w:cs="Arial"/>
          <w:sz w:val="24"/>
          <w:szCs w:val="24"/>
        </w:rPr>
        <w:t xml:space="preserve"> con respecto de 2013 de 59.06%, un incremento considerable, que contrasta con un incremento muy modesto en la población atendida, la cobertura y la eficacia de la cobertura. </w:t>
      </w:r>
    </w:p>
    <w:p w14:paraId="78BB748B" w14:textId="77777777" w:rsidR="004D058F" w:rsidRPr="0084402E" w:rsidRDefault="004D058F" w:rsidP="009B6249">
      <w:pPr>
        <w:spacing w:after="0" w:line="360" w:lineRule="auto"/>
        <w:jc w:val="both"/>
        <w:rPr>
          <w:rFonts w:ascii="Arial" w:eastAsiaTheme="minorEastAsia" w:hAnsi="Arial" w:cs="Arial"/>
          <w:sz w:val="24"/>
          <w:szCs w:val="24"/>
        </w:rPr>
      </w:pPr>
    </w:p>
    <w:p w14:paraId="4A72F57A" w14:textId="4885251D" w:rsidR="008F6988" w:rsidRPr="0084402E" w:rsidRDefault="008F6988" w:rsidP="009B6249">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lastRenderedPageBreak/>
        <w:t>A lo anterior</w:t>
      </w:r>
      <w:r w:rsidR="003E6DBF" w:rsidRPr="0084402E">
        <w:rPr>
          <w:rFonts w:ascii="Arial" w:eastAsiaTheme="minorEastAsia" w:hAnsi="Arial" w:cs="Arial"/>
          <w:sz w:val="24"/>
          <w:szCs w:val="24"/>
        </w:rPr>
        <w:t xml:space="preserve"> se añade la necesidad de considerar a las personas que anualmente se incorporan a la población en rezago educativo. </w:t>
      </w:r>
      <w:r w:rsidR="003E6DBF" w:rsidRPr="00315EF2">
        <w:rPr>
          <w:rFonts w:ascii="Arial" w:eastAsiaTheme="minorEastAsia" w:hAnsi="Arial" w:cs="Arial"/>
          <w:sz w:val="24"/>
          <w:szCs w:val="24"/>
        </w:rPr>
        <w:t>El indicador de Propósito relaciona precisamente el logro de los educandos atendidos que concluyen secundaria con el número neto de personas que se incorporaron al re</w:t>
      </w:r>
      <w:r w:rsidR="004D7A34" w:rsidRPr="00315EF2">
        <w:rPr>
          <w:rFonts w:ascii="Arial" w:eastAsiaTheme="minorEastAsia" w:hAnsi="Arial" w:cs="Arial"/>
          <w:sz w:val="24"/>
          <w:szCs w:val="24"/>
        </w:rPr>
        <w:t xml:space="preserve">zago educativo </w:t>
      </w:r>
      <w:r w:rsidR="002835DF" w:rsidRPr="00315EF2">
        <w:rPr>
          <w:rFonts w:ascii="Arial" w:eastAsiaTheme="minorEastAsia" w:hAnsi="Arial" w:cs="Arial"/>
          <w:sz w:val="24"/>
          <w:szCs w:val="24"/>
        </w:rPr>
        <w:t>en el año previo; sin embargo, é</w:t>
      </w:r>
      <w:r w:rsidR="003E6DBF" w:rsidRPr="00315EF2">
        <w:rPr>
          <w:rFonts w:ascii="Arial" w:eastAsiaTheme="minorEastAsia" w:hAnsi="Arial" w:cs="Arial"/>
          <w:sz w:val="24"/>
          <w:szCs w:val="24"/>
        </w:rPr>
        <w:t>ste indicador no está incluido en la MIR estatal, y en los informes del Sistema de Formato Único en los que de</w:t>
      </w:r>
      <w:r w:rsidR="00315EF2" w:rsidRPr="00315EF2">
        <w:rPr>
          <w:rFonts w:ascii="Arial" w:eastAsiaTheme="minorEastAsia" w:hAnsi="Arial" w:cs="Arial"/>
          <w:sz w:val="24"/>
          <w:szCs w:val="24"/>
        </w:rPr>
        <w:t>bería reportarse su seguimiento y</w:t>
      </w:r>
      <w:r w:rsidR="003E6DBF" w:rsidRPr="00315EF2">
        <w:rPr>
          <w:rFonts w:ascii="Arial" w:eastAsiaTheme="minorEastAsia" w:hAnsi="Arial" w:cs="Arial"/>
          <w:sz w:val="24"/>
          <w:szCs w:val="24"/>
        </w:rPr>
        <w:t xml:space="preserve"> no se muestra ningún avance para el ejercicio 2014</w:t>
      </w:r>
      <w:r w:rsidR="00EA4AB7" w:rsidRPr="00315EF2">
        <w:rPr>
          <w:rFonts w:ascii="Arial" w:eastAsiaTheme="minorEastAsia" w:hAnsi="Arial" w:cs="Arial"/>
          <w:sz w:val="24"/>
          <w:szCs w:val="24"/>
        </w:rPr>
        <w:t>, no obstante que se cuenta con la ficha completa de los indicadores</w:t>
      </w:r>
      <w:r w:rsidR="003E6DBF" w:rsidRPr="00315EF2">
        <w:rPr>
          <w:rFonts w:ascii="Arial" w:eastAsiaTheme="minorEastAsia" w:hAnsi="Arial" w:cs="Arial"/>
          <w:sz w:val="24"/>
          <w:szCs w:val="24"/>
        </w:rPr>
        <w:t>.</w:t>
      </w:r>
      <w:r w:rsidR="003E6DBF" w:rsidRPr="0084402E">
        <w:rPr>
          <w:rFonts w:ascii="Arial" w:eastAsiaTheme="minorEastAsia" w:hAnsi="Arial" w:cs="Arial"/>
          <w:sz w:val="24"/>
          <w:szCs w:val="24"/>
        </w:rPr>
        <w:t xml:space="preserve"> </w:t>
      </w:r>
    </w:p>
    <w:p w14:paraId="37402243" w14:textId="77777777" w:rsidR="00AB0171" w:rsidRPr="0084402E" w:rsidRDefault="00AB0171" w:rsidP="009B6249">
      <w:pPr>
        <w:spacing w:after="0" w:line="360" w:lineRule="auto"/>
        <w:jc w:val="both"/>
        <w:rPr>
          <w:rFonts w:ascii="Arial" w:eastAsiaTheme="minorEastAsia" w:hAnsi="Arial" w:cs="Arial"/>
          <w:sz w:val="24"/>
          <w:szCs w:val="24"/>
        </w:rPr>
      </w:pPr>
    </w:p>
    <w:p w14:paraId="326F2F1F" w14:textId="20F69F0F" w:rsidR="007770FC" w:rsidRPr="0084402E" w:rsidRDefault="00043A35" w:rsidP="009B6249">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Cabe destacar que la asignación de los recursos al Fondo en el Presupuesto de Egresos de la Federación corresponde únicamente a la Federación y obedece a los criterios establecidos en la LCF, que están orientados a la capacidad instalada y no a la</w:t>
      </w:r>
      <w:r w:rsidR="004D7A34" w:rsidRPr="0084402E">
        <w:rPr>
          <w:rFonts w:ascii="Arial" w:eastAsiaTheme="minorEastAsia" w:hAnsi="Arial" w:cs="Arial"/>
          <w:sz w:val="24"/>
          <w:szCs w:val="24"/>
        </w:rPr>
        <w:t xml:space="preserve"> dimensión de la demanda o de la</w:t>
      </w:r>
      <w:r w:rsidRPr="0084402E">
        <w:rPr>
          <w:rFonts w:ascii="Arial" w:eastAsiaTheme="minorEastAsia" w:hAnsi="Arial" w:cs="Arial"/>
          <w:sz w:val="24"/>
          <w:szCs w:val="24"/>
        </w:rPr>
        <w:t xml:space="preserve"> problemática, por lo que tanto el estado de Yucatán como el IEAEY tienen un margen limitado para un incremento significativo de la cobertura que permita una mayor dismin</w:t>
      </w:r>
      <w:r w:rsidR="008F6988" w:rsidRPr="0084402E">
        <w:rPr>
          <w:rFonts w:ascii="Arial" w:eastAsiaTheme="minorEastAsia" w:hAnsi="Arial" w:cs="Arial"/>
          <w:sz w:val="24"/>
          <w:szCs w:val="24"/>
        </w:rPr>
        <w:t xml:space="preserve">ución del rezago. </w:t>
      </w:r>
      <w:r w:rsidR="00547C14" w:rsidRPr="0084402E">
        <w:rPr>
          <w:rFonts w:ascii="Arial" w:eastAsiaTheme="minorEastAsia" w:hAnsi="Arial" w:cs="Arial"/>
          <w:sz w:val="24"/>
          <w:szCs w:val="24"/>
        </w:rPr>
        <w:t>No obstante, el incremento en los recursos complementarios del Ramo 11,</w:t>
      </w:r>
      <w:r w:rsidR="00F6225B" w:rsidRPr="0084402E">
        <w:rPr>
          <w:rFonts w:ascii="Arial" w:eastAsiaTheme="minorEastAsia" w:hAnsi="Arial" w:cs="Arial"/>
          <w:sz w:val="24"/>
          <w:szCs w:val="24"/>
        </w:rPr>
        <w:t xml:space="preserve"> sí</w:t>
      </w:r>
      <w:r w:rsidR="00547C14" w:rsidRPr="0084402E">
        <w:rPr>
          <w:rFonts w:ascii="Arial" w:eastAsiaTheme="minorEastAsia" w:hAnsi="Arial" w:cs="Arial"/>
          <w:sz w:val="24"/>
          <w:szCs w:val="24"/>
        </w:rPr>
        <w:t xml:space="preserve"> parece ser motivado por la dime</w:t>
      </w:r>
      <w:r w:rsidR="00621E02" w:rsidRPr="0084402E">
        <w:rPr>
          <w:rFonts w:ascii="Arial" w:eastAsiaTheme="minorEastAsia" w:hAnsi="Arial" w:cs="Arial"/>
          <w:sz w:val="24"/>
          <w:szCs w:val="24"/>
        </w:rPr>
        <w:t>nsión de la problemática</w:t>
      </w:r>
      <w:r w:rsidR="004D7A34" w:rsidRPr="0084402E">
        <w:rPr>
          <w:rFonts w:ascii="Arial" w:eastAsiaTheme="minorEastAsia" w:hAnsi="Arial" w:cs="Arial"/>
          <w:sz w:val="24"/>
          <w:szCs w:val="24"/>
        </w:rPr>
        <w:t>,</w:t>
      </w:r>
      <w:r w:rsidR="00621E02" w:rsidRPr="0084402E">
        <w:rPr>
          <w:rFonts w:ascii="Arial" w:eastAsiaTheme="minorEastAsia" w:hAnsi="Arial" w:cs="Arial"/>
          <w:sz w:val="24"/>
          <w:szCs w:val="24"/>
        </w:rPr>
        <w:t xml:space="preserve"> ya que</w:t>
      </w:r>
      <w:r w:rsidR="00547C14" w:rsidRPr="0084402E">
        <w:rPr>
          <w:rFonts w:ascii="Arial" w:eastAsiaTheme="minorEastAsia" w:hAnsi="Arial" w:cs="Arial"/>
          <w:sz w:val="24"/>
          <w:szCs w:val="24"/>
        </w:rPr>
        <w:t xml:space="preserve"> </w:t>
      </w:r>
      <w:r w:rsidR="00CB36FB" w:rsidRPr="0084402E">
        <w:rPr>
          <w:rFonts w:ascii="Arial" w:eastAsiaTheme="minorEastAsia" w:hAnsi="Arial" w:cs="Arial"/>
          <w:sz w:val="24"/>
          <w:szCs w:val="24"/>
        </w:rPr>
        <w:t>a partir de 2014 hubo un</w:t>
      </w:r>
      <w:r w:rsidR="00547C14" w:rsidRPr="0084402E">
        <w:rPr>
          <w:rFonts w:ascii="Arial" w:eastAsiaTheme="minorEastAsia" w:hAnsi="Arial" w:cs="Arial"/>
          <w:sz w:val="24"/>
          <w:szCs w:val="24"/>
        </w:rPr>
        <w:t xml:space="preserve"> fortalecimiento de la política de atención al rezago educativo a través de la Campaña Nacional de Alfabetización y Abatimiento del Rezago Educativo 2014-2018, lanzada</w:t>
      </w:r>
      <w:r w:rsidR="00F6225B" w:rsidRPr="0084402E">
        <w:rPr>
          <w:rFonts w:ascii="Arial" w:eastAsiaTheme="minorEastAsia" w:hAnsi="Arial" w:cs="Arial"/>
          <w:sz w:val="24"/>
          <w:szCs w:val="24"/>
        </w:rPr>
        <w:t xml:space="preserve"> a finales de 2013</w:t>
      </w:r>
      <w:r w:rsidR="00547C14" w:rsidRPr="0084402E">
        <w:rPr>
          <w:rFonts w:ascii="Arial" w:eastAsiaTheme="minorEastAsia" w:hAnsi="Arial" w:cs="Arial"/>
          <w:sz w:val="24"/>
          <w:szCs w:val="24"/>
        </w:rPr>
        <w:t xml:space="preserve"> por el Gobierno Federal. </w:t>
      </w:r>
    </w:p>
    <w:p w14:paraId="6E6F7660" w14:textId="77777777" w:rsidR="002B0595" w:rsidRPr="0084402E" w:rsidRDefault="002B0595" w:rsidP="009B6249">
      <w:pPr>
        <w:spacing w:after="0" w:line="360" w:lineRule="auto"/>
        <w:jc w:val="both"/>
        <w:rPr>
          <w:rFonts w:ascii="Arial" w:eastAsiaTheme="minorEastAsia" w:hAnsi="Arial" w:cs="Arial"/>
          <w:sz w:val="24"/>
          <w:szCs w:val="24"/>
        </w:rPr>
      </w:pPr>
    </w:p>
    <w:p w14:paraId="451D30F8" w14:textId="21F4A4AF" w:rsidR="002B0595" w:rsidRPr="0084402E" w:rsidRDefault="002B0595" w:rsidP="009B6249">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Por </w:t>
      </w:r>
      <w:r w:rsidR="004D7A34" w:rsidRPr="0084402E">
        <w:rPr>
          <w:rFonts w:ascii="Arial" w:eastAsiaTheme="minorEastAsia" w:hAnsi="Arial" w:cs="Arial"/>
          <w:sz w:val="24"/>
          <w:szCs w:val="24"/>
        </w:rPr>
        <w:t>lo anterior, en consideración a</w:t>
      </w:r>
      <w:r w:rsidRPr="0084402E">
        <w:rPr>
          <w:rFonts w:ascii="Arial" w:eastAsiaTheme="minorEastAsia" w:hAnsi="Arial" w:cs="Arial"/>
          <w:sz w:val="24"/>
          <w:szCs w:val="24"/>
        </w:rPr>
        <w:t xml:space="preserve"> que la campaña federal </w:t>
      </w:r>
      <w:r w:rsidR="00621E02" w:rsidRPr="0084402E">
        <w:rPr>
          <w:rFonts w:ascii="Arial" w:eastAsiaTheme="minorEastAsia" w:hAnsi="Arial" w:cs="Arial"/>
          <w:sz w:val="24"/>
          <w:szCs w:val="24"/>
        </w:rPr>
        <w:t>comprende</w:t>
      </w:r>
      <w:r w:rsidRPr="0084402E">
        <w:rPr>
          <w:rFonts w:ascii="Arial" w:eastAsiaTheme="minorEastAsia" w:hAnsi="Arial" w:cs="Arial"/>
          <w:sz w:val="24"/>
          <w:szCs w:val="24"/>
        </w:rPr>
        <w:t xml:space="preserve"> hasta el 2018</w:t>
      </w:r>
      <w:r w:rsidR="004D7A34" w:rsidRPr="0084402E">
        <w:rPr>
          <w:rFonts w:ascii="Arial" w:eastAsiaTheme="minorEastAsia" w:hAnsi="Arial" w:cs="Arial"/>
          <w:sz w:val="24"/>
          <w:szCs w:val="24"/>
        </w:rPr>
        <w:t>,</w:t>
      </w:r>
      <w:r w:rsidRPr="0084402E">
        <w:rPr>
          <w:rFonts w:ascii="Arial" w:eastAsiaTheme="minorEastAsia" w:hAnsi="Arial" w:cs="Arial"/>
          <w:sz w:val="24"/>
          <w:szCs w:val="24"/>
        </w:rPr>
        <w:t xml:space="preserve"> </w:t>
      </w:r>
      <w:r w:rsidR="00621E02" w:rsidRPr="0084402E">
        <w:rPr>
          <w:rFonts w:ascii="Arial" w:eastAsiaTheme="minorEastAsia" w:hAnsi="Arial" w:cs="Arial"/>
          <w:sz w:val="24"/>
          <w:szCs w:val="24"/>
        </w:rPr>
        <w:t>se considera que la Federación seguirá</w:t>
      </w:r>
      <w:r w:rsidRPr="0084402E">
        <w:rPr>
          <w:rFonts w:ascii="Arial" w:eastAsiaTheme="minorEastAsia" w:hAnsi="Arial" w:cs="Arial"/>
          <w:sz w:val="24"/>
          <w:szCs w:val="24"/>
        </w:rPr>
        <w:t xml:space="preserve"> destinando recursos</w:t>
      </w:r>
      <w:r w:rsidR="00621E02" w:rsidRPr="0084402E">
        <w:rPr>
          <w:rFonts w:ascii="Arial" w:eastAsiaTheme="minorEastAsia" w:hAnsi="Arial" w:cs="Arial"/>
          <w:sz w:val="24"/>
          <w:szCs w:val="24"/>
        </w:rPr>
        <w:t xml:space="preserve"> adicionales</w:t>
      </w:r>
      <w:r w:rsidRPr="0084402E">
        <w:rPr>
          <w:rFonts w:ascii="Arial" w:eastAsiaTheme="minorEastAsia" w:hAnsi="Arial" w:cs="Arial"/>
          <w:sz w:val="24"/>
          <w:szCs w:val="24"/>
        </w:rPr>
        <w:t xml:space="preserve"> a este programa, se recomienda hacer una revisión a la dimensión de la población objetivo, revisar los criterios para su definición y ajustar las metas relacionadas con la cobertura y con el logro educativo. Así mismo</w:t>
      </w:r>
      <w:r w:rsidR="004D7A34" w:rsidRPr="0084402E">
        <w:rPr>
          <w:rFonts w:ascii="Arial" w:eastAsiaTheme="minorEastAsia" w:hAnsi="Arial" w:cs="Arial"/>
          <w:sz w:val="24"/>
          <w:szCs w:val="24"/>
        </w:rPr>
        <w:t>,</w:t>
      </w:r>
      <w:r w:rsidRPr="0084402E">
        <w:rPr>
          <w:rFonts w:ascii="Arial" w:eastAsiaTheme="minorEastAsia" w:hAnsi="Arial" w:cs="Arial"/>
          <w:sz w:val="24"/>
          <w:szCs w:val="24"/>
        </w:rPr>
        <w:t xml:space="preserve"> fortalecer las acciones que se contemplan dentro de la Campaña Nacional de Alfabetización y Abatimiento del Rezago Educativo 2014-2018, que corresponda realizar al IEAEY, para incrementar la demanda de los servicios por parte de la</w:t>
      </w:r>
      <w:r w:rsidR="00CB36FB" w:rsidRPr="0084402E">
        <w:rPr>
          <w:rFonts w:ascii="Arial" w:eastAsiaTheme="minorEastAsia" w:hAnsi="Arial" w:cs="Arial"/>
          <w:sz w:val="24"/>
          <w:szCs w:val="24"/>
        </w:rPr>
        <w:t>s personas en rezago educativo</w:t>
      </w:r>
      <w:r w:rsidR="00FE6395" w:rsidRPr="0084402E">
        <w:rPr>
          <w:rFonts w:ascii="Arial" w:eastAsiaTheme="minorEastAsia" w:hAnsi="Arial" w:cs="Arial"/>
          <w:sz w:val="24"/>
          <w:szCs w:val="24"/>
        </w:rPr>
        <w:t xml:space="preserve"> e incrementar el nivel de cobertura del programa. </w:t>
      </w:r>
    </w:p>
    <w:p w14:paraId="0BEC69BF" w14:textId="0DD25366" w:rsidR="00DC4907" w:rsidRDefault="00DC4907">
      <w:pPr>
        <w:spacing w:after="0" w:line="240" w:lineRule="auto"/>
        <w:rPr>
          <w:rFonts w:ascii="Arial" w:eastAsiaTheme="minorEastAsia" w:hAnsi="Arial" w:cs="Arial"/>
          <w:sz w:val="24"/>
          <w:szCs w:val="24"/>
        </w:rPr>
      </w:pPr>
      <w:r>
        <w:rPr>
          <w:rFonts w:ascii="Arial" w:eastAsiaTheme="minorEastAsia" w:hAnsi="Arial" w:cs="Arial"/>
          <w:sz w:val="24"/>
          <w:szCs w:val="24"/>
        </w:rPr>
        <w:br w:type="page"/>
      </w:r>
    </w:p>
    <w:p w14:paraId="58D62FD1" w14:textId="77777777" w:rsidR="00043A35" w:rsidRPr="0084402E" w:rsidRDefault="00043A35" w:rsidP="009B6249">
      <w:pPr>
        <w:spacing w:after="0" w:line="360" w:lineRule="auto"/>
        <w:jc w:val="both"/>
        <w:rPr>
          <w:rFonts w:ascii="Arial" w:eastAsiaTheme="minorEastAsia" w:hAnsi="Arial" w:cs="Arial"/>
          <w:sz w:val="24"/>
          <w:szCs w:val="24"/>
        </w:rPr>
      </w:pPr>
    </w:p>
    <w:p w14:paraId="56F1B3A2" w14:textId="77777777" w:rsidR="00C671F3" w:rsidRPr="0084402E" w:rsidRDefault="00C671F3" w:rsidP="00007BF2">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7. ¿La población potencial y objetivo se encuentran claramente definidas?</w:t>
      </w:r>
    </w:p>
    <w:p w14:paraId="118541FE" w14:textId="77777777" w:rsidR="00C2204B" w:rsidRPr="0084402E" w:rsidRDefault="00C2204B" w:rsidP="00C2204B">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RESPUESTA:</w:t>
      </w:r>
      <w:r w:rsidR="00F418AE" w:rsidRPr="0084402E">
        <w:rPr>
          <w:rFonts w:ascii="Arial" w:eastAsiaTheme="minorEastAsia" w:hAnsi="Arial" w:cs="Arial"/>
          <w:b/>
          <w:sz w:val="24"/>
          <w:szCs w:val="24"/>
        </w:rPr>
        <w:t xml:space="preserve"> SÍ</w:t>
      </w:r>
    </w:p>
    <w:p w14:paraId="40417594" w14:textId="77777777" w:rsidR="00F418AE" w:rsidRPr="0084402E" w:rsidRDefault="00F418AE" w:rsidP="00C2204B">
      <w:pPr>
        <w:spacing w:after="0" w:line="360" w:lineRule="auto"/>
        <w:jc w:val="both"/>
        <w:rPr>
          <w:rFonts w:ascii="Arial" w:eastAsiaTheme="minorEastAsia" w:hAnsi="Arial" w:cs="Arial"/>
          <w:b/>
          <w:sz w:val="24"/>
          <w:szCs w:val="24"/>
        </w:rPr>
      </w:pPr>
    </w:p>
    <w:p w14:paraId="2A489379" w14:textId="77777777" w:rsidR="00C2204B" w:rsidRPr="0084402E" w:rsidRDefault="000157DC" w:rsidP="000157DC">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Ambas poblaciones están definidas en las </w:t>
      </w:r>
      <w:r w:rsidRPr="0084402E">
        <w:rPr>
          <w:rFonts w:ascii="Arial" w:eastAsiaTheme="minorEastAsia" w:hAnsi="Arial" w:cs="Arial"/>
          <w:i/>
          <w:sz w:val="24"/>
          <w:szCs w:val="24"/>
        </w:rPr>
        <w:t>Reglas de Operación del Programa Atención a la Demanda de Educación para Adultos (INEA) para el ejercicio fiscal 2014</w:t>
      </w:r>
      <w:r w:rsidR="003D5FD1" w:rsidRPr="0084402E">
        <w:rPr>
          <w:rFonts w:ascii="Arial" w:eastAsiaTheme="minorEastAsia" w:hAnsi="Arial" w:cs="Arial"/>
          <w:sz w:val="24"/>
          <w:szCs w:val="24"/>
        </w:rPr>
        <w:t xml:space="preserve"> (DOF. 10 de abril de 2014), a las que </w:t>
      </w:r>
      <w:r w:rsidR="0010247D" w:rsidRPr="0084402E">
        <w:rPr>
          <w:rFonts w:ascii="Arial" w:eastAsiaTheme="minorEastAsia" w:hAnsi="Arial" w:cs="Arial"/>
          <w:sz w:val="24"/>
          <w:szCs w:val="24"/>
        </w:rPr>
        <w:t xml:space="preserve">se hará referencia </w:t>
      </w:r>
      <w:r w:rsidR="003D5FD1" w:rsidRPr="0084402E">
        <w:rPr>
          <w:rFonts w:ascii="Arial" w:eastAsiaTheme="minorEastAsia" w:hAnsi="Arial" w:cs="Arial"/>
          <w:sz w:val="24"/>
          <w:szCs w:val="24"/>
        </w:rPr>
        <w:t>en adelante Reglas de Operación.</w:t>
      </w:r>
      <w:r w:rsidR="00A64634" w:rsidRPr="0084402E">
        <w:rPr>
          <w:rFonts w:ascii="Arial" w:eastAsiaTheme="minorEastAsia" w:hAnsi="Arial" w:cs="Arial"/>
          <w:sz w:val="24"/>
          <w:szCs w:val="24"/>
        </w:rPr>
        <w:t xml:space="preserve"> Estas reglas son emitidas por el INEA como normativa para la ejecución de los programas de educación para adultos en las entidades ya sea por los institutos estatales o bien por las delegaciones estatales de esa dependencia federal. En ese sentido,</w:t>
      </w:r>
      <w:r w:rsidR="003F006D" w:rsidRPr="0084402E">
        <w:rPr>
          <w:rFonts w:ascii="Arial" w:eastAsiaTheme="minorEastAsia" w:hAnsi="Arial" w:cs="Arial"/>
          <w:sz w:val="24"/>
          <w:szCs w:val="24"/>
        </w:rPr>
        <w:t xml:space="preserve"> además de las definiciones,</w:t>
      </w:r>
      <w:r w:rsidR="00A64634" w:rsidRPr="0084402E">
        <w:rPr>
          <w:rFonts w:ascii="Arial" w:eastAsiaTheme="minorEastAsia" w:hAnsi="Arial" w:cs="Arial"/>
          <w:sz w:val="24"/>
          <w:szCs w:val="24"/>
        </w:rPr>
        <w:t xml:space="preserve"> las Reglas presentan cifras agregadas de la población potencial y objetivo a nivel nacional. </w:t>
      </w:r>
    </w:p>
    <w:p w14:paraId="3D4E413B" w14:textId="77777777" w:rsidR="000157DC" w:rsidRPr="0084402E" w:rsidRDefault="000157DC" w:rsidP="00C2204B">
      <w:pPr>
        <w:spacing w:after="0" w:line="360" w:lineRule="auto"/>
        <w:jc w:val="both"/>
        <w:rPr>
          <w:rFonts w:ascii="Arial" w:eastAsiaTheme="minorEastAsia" w:hAnsi="Arial" w:cs="Arial"/>
          <w:sz w:val="24"/>
          <w:szCs w:val="24"/>
        </w:rPr>
      </w:pPr>
    </w:p>
    <w:p w14:paraId="7E2937B7" w14:textId="77777777" w:rsidR="000157DC" w:rsidRPr="0084402E" w:rsidRDefault="003F006D" w:rsidP="000157DC">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De acuerdo con las Reglas de Operación, l</w:t>
      </w:r>
      <w:r w:rsidR="000157DC" w:rsidRPr="0084402E">
        <w:rPr>
          <w:rFonts w:ascii="Arial" w:eastAsiaTheme="minorEastAsia" w:hAnsi="Arial" w:cs="Arial"/>
          <w:sz w:val="24"/>
          <w:szCs w:val="24"/>
        </w:rPr>
        <w:t>a demanda potencial del p</w:t>
      </w:r>
      <w:r w:rsidRPr="0084402E">
        <w:rPr>
          <w:rFonts w:ascii="Arial" w:eastAsiaTheme="minorEastAsia" w:hAnsi="Arial" w:cs="Arial"/>
          <w:sz w:val="24"/>
          <w:szCs w:val="24"/>
        </w:rPr>
        <w:t xml:space="preserve">rograma está constituida por la </w:t>
      </w:r>
      <w:r w:rsidR="000157DC" w:rsidRPr="0084402E">
        <w:rPr>
          <w:rFonts w:ascii="Arial" w:eastAsiaTheme="minorEastAsia" w:hAnsi="Arial" w:cs="Arial"/>
          <w:sz w:val="24"/>
          <w:szCs w:val="24"/>
        </w:rPr>
        <w:t>población de 15 años o más del país que no</w:t>
      </w:r>
      <w:r w:rsidRPr="0084402E">
        <w:rPr>
          <w:rFonts w:ascii="Arial" w:eastAsiaTheme="minorEastAsia" w:hAnsi="Arial" w:cs="Arial"/>
          <w:sz w:val="24"/>
          <w:szCs w:val="24"/>
        </w:rPr>
        <w:t xml:space="preserve"> </w:t>
      </w:r>
      <w:r w:rsidR="000157DC" w:rsidRPr="0084402E">
        <w:rPr>
          <w:rFonts w:ascii="Arial" w:eastAsiaTheme="minorEastAsia" w:hAnsi="Arial" w:cs="Arial"/>
          <w:sz w:val="24"/>
          <w:szCs w:val="24"/>
        </w:rPr>
        <w:t>sabe leer o escribir, o que no tuvo la oportunidad de cursar y concluir su edu</w:t>
      </w:r>
      <w:r w:rsidRPr="0084402E">
        <w:rPr>
          <w:rFonts w:ascii="Arial" w:eastAsiaTheme="minorEastAsia" w:hAnsi="Arial" w:cs="Arial"/>
          <w:sz w:val="24"/>
          <w:szCs w:val="24"/>
        </w:rPr>
        <w:t xml:space="preserve">cación primaria y/o secundaria, </w:t>
      </w:r>
      <w:r w:rsidR="000157DC" w:rsidRPr="0084402E">
        <w:rPr>
          <w:rFonts w:ascii="Arial" w:eastAsiaTheme="minorEastAsia" w:hAnsi="Arial" w:cs="Arial"/>
          <w:sz w:val="24"/>
          <w:szCs w:val="24"/>
        </w:rPr>
        <w:t>por condiciones de supervivencia y trabajo, y que forman parte casi en su tota</w:t>
      </w:r>
      <w:r w:rsidRPr="0084402E">
        <w:rPr>
          <w:rFonts w:ascii="Arial" w:eastAsiaTheme="minorEastAsia" w:hAnsi="Arial" w:cs="Arial"/>
          <w:sz w:val="24"/>
          <w:szCs w:val="24"/>
        </w:rPr>
        <w:t xml:space="preserve">lidad de grupos marginados y en </w:t>
      </w:r>
      <w:r w:rsidR="000157DC" w:rsidRPr="0084402E">
        <w:rPr>
          <w:rFonts w:ascii="Arial" w:eastAsiaTheme="minorEastAsia" w:hAnsi="Arial" w:cs="Arial"/>
          <w:sz w:val="24"/>
          <w:szCs w:val="24"/>
        </w:rPr>
        <w:t>situación de pobreza</w:t>
      </w:r>
      <w:r w:rsidRPr="0084402E">
        <w:rPr>
          <w:rFonts w:ascii="Arial" w:eastAsiaTheme="minorEastAsia" w:hAnsi="Arial" w:cs="Arial"/>
          <w:sz w:val="24"/>
          <w:szCs w:val="24"/>
        </w:rPr>
        <w:t xml:space="preserve">. Como demanda real se considera como la población que es factible atender, mientras que la población objetivo son los adultos registrados. </w:t>
      </w:r>
    </w:p>
    <w:p w14:paraId="0E4B6C08" w14:textId="77777777" w:rsidR="0053526F" w:rsidRPr="0084402E" w:rsidRDefault="0053526F" w:rsidP="000157DC">
      <w:pPr>
        <w:spacing w:after="0" w:line="360" w:lineRule="auto"/>
        <w:jc w:val="both"/>
        <w:rPr>
          <w:rFonts w:ascii="Arial" w:eastAsiaTheme="minorEastAsia" w:hAnsi="Arial" w:cs="Arial"/>
          <w:sz w:val="24"/>
          <w:szCs w:val="24"/>
        </w:rPr>
      </w:pPr>
    </w:p>
    <w:p w14:paraId="7E7C2ED1" w14:textId="77777777" w:rsidR="0053526F" w:rsidRPr="0084402E" w:rsidRDefault="0053526F" w:rsidP="000157DC">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En el presente análisis se toma como población potencial la población en rezago, la población objetivo como la población que es factible atender y la población atendida como los educandos registrados en el sistema de administración escolar. </w:t>
      </w:r>
    </w:p>
    <w:p w14:paraId="7D1D05CD" w14:textId="77777777" w:rsidR="0053526F" w:rsidRPr="0084402E" w:rsidRDefault="0053526F" w:rsidP="000157DC">
      <w:pPr>
        <w:spacing w:after="0" w:line="360" w:lineRule="auto"/>
        <w:jc w:val="both"/>
        <w:rPr>
          <w:rFonts w:ascii="Arial" w:eastAsiaTheme="minorEastAsia" w:hAnsi="Arial" w:cs="Arial"/>
          <w:sz w:val="24"/>
          <w:szCs w:val="24"/>
        </w:rPr>
      </w:pPr>
    </w:p>
    <w:p w14:paraId="5BB8793F" w14:textId="2BF554DF" w:rsidR="00A61E93" w:rsidRPr="0084402E" w:rsidRDefault="0053526F" w:rsidP="0053526F">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De acuerdo con lo anterior</w:t>
      </w:r>
      <w:r w:rsidR="00F27E45" w:rsidRPr="0084402E">
        <w:rPr>
          <w:rFonts w:ascii="Arial" w:eastAsiaTheme="minorEastAsia" w:hAnsi="Arial" w:cs="Arial"/>
          <w:sz w:val="24"/>
          <w:szCs w:val="24"/>
        </w:rPr>
        <w:t>,</w:t>
      </w:r>
      <w:r w:rsidRPr="0084402E">
        <w:rPr>
          <w:rFonts w:ascii="Arial" w:eastAsiaTheme="minorEastAsia" w:hAnsi="Arial" w:cs="Arial"/>
          <w:sz w:val="24"/>
          <w:szCs w:val="24"/>
        </w:rPr>
        <w:t xml:space="preserve"> en el POA 2014 de la actividad programática “Atención a la población en rezago de 15 años en adelante a través del IEAEY” la población potencial es el total de la población en rezago, es decir</w:t>
      </w:r>
      <w:r w:rsidR="00F27E45" w:rsidRPr="0084402E">
        <w:rPr>
          <w:rFonts w:ascii="Arial" w:eastAsiaTheme="minorEastAsia" w:hAnsi="Arial" w:cs="Arial"/>
          <w:sz w:val="24"/>
          <w:szCs w:val="24"/>
        </w:rPr>
        <w:t>,</w:t>
      </w:r>
      <w:r w:rsidRPr="0084402E">
        <w:rPr>
          <w:rFonts w:ascii="Arial" w:eastAsiaTheme="minorEastAsia" w:hAnsi="Arial" w:cs="Arial"/>
          <w:sz w:val="24"/>
          <w:szCs w:val="24"/>
        </w:rPr>
        <w:t xml:space="preserve"> 623 mil 726 personas, la población objetivo es la atención del 5% de la población total en rezago, que equivale a 31 mil 186 personas, c</w:t>
      </w:r>
      <w:r w:rsidR="00642DD2" w:rsidRPr="0084402E">
        <w:rPr>
          <w:rFonts w:ascii="Arial" w:eastAsiaTheme="minorEastAsia" w:hAnsi="Arial" w:cs="Arial"/>
          <w:sz w:val="24"/>
          <w:szCs w:val="24"/>
        </w:rPr>
        <w:t>ifra</w:t>
      </w:r>
      <w:r w:rsidRPr="0084402E">
        <w:rPr>
          <w:rFonts w:ascii="Arial" w:eastAsiaTheme="minorEastAsia" w:hAnsi="Arial" w:cs="Arial"/>
          <w:sz w:val="24"/>
          <w:szCs w:val="24"/>
        </w:rPr>
        <w:t xml:space="preserve"> que idealmente debería coincidir con la matrícula. De la población objetivo, se establece una meta de 10,400 alumnos que concluyen un nivel educativo. </w:t>
      </w:r>
      <w:r w:rsidR="00A61E93" w:rsidRPr="0084402E">
        <w:rPr>
          <w:rFonts w:ascii="Arial" w:eastAsiaTheme="minorEastAsia" w:hAnsi="Arial" w:cs="Arial"/>
          <w:sz w:val="24"/>
          <w:szCs w:val="24"/>
        </w:rPr>
        <w:br w:type="page"/>
      </w:r>
    </w:p>
    <w:p w14:paraId="4F1055D4" w14:textId="77777777" w:rsidR="00C671F3" w:rsidRPr="0084402E" w:rsidRDefault="00C671F3" w:rsidP="00C2204B">
      <w:pPr>
        <w:spacing w:after="0" w:line="360" w:lineRule="auto"/>
        <w:ind w:left="284"/>
        <w:jc w:val="both"/>
        <w:rPr>
          <w:rFonts w:ascii="Arial" w:eastAsiaTheme="minorEastAsia" w:hAnsi="Arial" w:cs="Arial"/>
          <w:b/>
          <w:sz w:val="24"/>
          <w:szCs w:val="24"/>
        </w:rPr>
      </w:pPr>
      <w:r w:rsidRPr="0084402E">
        <w:rPr>
          <w:rFonts w:ascii="Arial" w:eastAsiaTheme="minorEastAsia" w:hAnsi="Arial" w:cs="Arial"/>
          <w:b/>
          <w:sz w:val="24"/>
          <w:szCs w:val="24"/>
        </w:rPr>
        <w:lastRenderedPageBreak/>
        <w:t>8. ¿La población atendida corresponde a los beneficiarios o área de enfoque efectivamente atendidos?</w:t>
      </w:r>
    </w:p>
    <w:p w14:paraId="40B98E17" w14:textId="77777777" w:rsidR="00C2204B" w:rsidRPr="0084402E" w:rsidRDefault="00C2204B" w:rsidP="00C2204B">
      <w:pPr>
        <w:spacing w:after="0" w:line="360" w:lineRule="auto"/>
        <w:jc w:val="both"/>
        <w:rPr>
          <w:rFonts w:ascii="Arial" w:eastAsiaTheme="minorEastAsia" w:hAnsi="Arial" w:cs="Arial"/>
          <w:sz w:val="24"/>
          <w:szCs w:val="24"/>
        </w:rPr>
      </w:pPr>
      <w:r w:rsidRPr="0084402E">
        <w:rPr>
          <w:rFonts w:ascii="Arial" w:eastAsiaTheme="minorEastAsia" w:hAnsi="Arial" w:cs="Arial"/>
          <w:b/>
          <w:sz w:val="24"/>
          <w:szCs w:val="24"/>
        </w:rPr>
        <w:t>RESPUESTA:</w:t>
      </w:r>
      <w:r w:rsidR="00642DD2" w:rsidRPr="0084402E">
        <w:rPr>
          <w:rFonts w:ascii="Arial" w:eastAsiaTheme="minorEastAsia" w:hAnsi="Arial" w:cs="Arial"/>
          <w:b/>
          <w:sz w:val="24"/>
          <w:szCs w:val="24"/>
        </w:rPr>
        <w:t xml:space="preserve"> SÍ</w:t>
      </w:r>
    </w:p>
    <w:p w14:paraId="1E86360D" w14:textId="4D2F29AB" w:rsidR="00251C03" w:rsidRPr="0084402E" w:rsidRDefault="00B8113B" w:rsidP="00CC4F94">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En tanto que las Reglas de Operación </w:t>
      </w:r>
      <w:r w:rsidR="003D5FD1" w:rsidRPr="0084402E">
        <w:rPr>
          <w:rFonts w:ascii="Arial" w:eastAsiaTheme="minorEastAsia" w:hAnsi="Arial" w:cs="Arial"/>
          <w:sz w:val="24"/>
          <w:szCs w:val="24"/>
        </w:rPr>
        <w:t xml:space="preserve">establecen </w:t>
      </w:r>
      <w:r w:rsidR="0065576A" w:rsidRPr="0084402E">
        <w:rPr>
          <w:rFonts w:ascii="Arial" w:eastAsiaTheme="minorEastAsia" w:hAnsi="Arial" w:cs="Arial"/>
          <w:sz w:val="24"/>
          <w:szCs w:val="24"/>
        </w:rPr>
        <w:t xml:space="preserve">los requisitos de admisión para los </w:t>
      </w:r>
      <w:r w:rsidR="003D5FD1" w:rsidRPr="0084402E">
        <w:rPr>
          <w:rFonts w:ascii="Arial" w:eastAsiaTheme="minorEastAsia" w:hAnsi="Arial" w:cs="Arial"/>
          <w:sz w:val="24"/>
          <w:szCs w:val="24"/>
        </w:rPr>
        <w:t>beneficiarios</w:t>
      </w:r>
      <w:r w:rsidR="00CC4F94" w:rsidRPr="0084402E">
        <w:rPr>
          <w:rFonts w:ascii="Arial" w:eastAsiaTheme="minorEastAsia" w:hAnsi="Arial" w:cs="Arial"/>
          <w:sz w:val="24"/>
          <w:szCs w:val="24"/>
        </w:rPr>
        <w:t xml:space="preserve">. </w:t>
      </w:r>
      <w:r w:rsidR="00437620" w:rsidRPr="0084402E">
        <w:rPr>
          <w:rFonts w:ascii="Arial" w:eastAsiaTheme="minorEastAsia" w:hAnsi="Arial" w:cs="Arial"/>
          <w:sz w:val="24"/>
          <w:szCs w:val="24"/>
        </w:rPr>
        <w:t>Para las personas que deseen aprender a leer y escribir o estudiar o ac</w:t>
      </w:r>
      <w:r w:rsidR="00020E10" w:rsidRPr="0084402E">
        <w:rPr>
          <w:rFonts w:ascii="Arial" w:eastAsiaTheme="minorEastAsia" w:hAnsi="Arial" w:cs="Arial"/>
          <w:sz w:val="24"/>
          <w:szCs w:val="24"/>
        </w:rPr>
        <w:t xml:space="preserve">reditar la educación primaria y </w:t>
      </w:r>
      <w:r w:rsidR="00437620" w:rsidRPr="0084402E">
        <w:rPr>
          <w:rFonts w:ascii="Arial" w:eastAsiaTheme="minorEastAsia" w:hAnsi="Arial" w:cs="Arial"/>
          <w:sz w:val="24"/>
          <w:szCs w:val="24"/>
        </w:rPr>
        <w:t>secundaria es necesario contar con 15 años de edad o más y no tener la prima</w:t>
      </w:r>
      <w:r w:rsidR="00020E10" w:rsidRPr="0084402E">
        <w:rPr>
          <w:rFonts w:ascii="Arial" w:eastAsiaTheme="minorEastAsia" w:hAnsi="Arial" w:cs="Arial"/>
          <w:sz w:val="24"/>
          <w:szCs w:val="24"/>
        </w:rPr>
        <w:t xml:space="preserve">ria o secundaria concluida; con </w:t>
      </w:r>
      <w:r w:rsidR="00437620" w:rsidRPr="0084402E">
        <w:rPr>
          <w:rFonts w:ascii="Arial" w:eastAsiaTheme="minorEastAsia" w:hAnsi="Arial" w:cs="Arial"/>
          <w:sz w:val="24"/>
          <w:szCs w:val="24"/>
        </w:rPr>
        <w:t>excepción de los/as niños/as y jóvenes de 10 a 14 años que, por encontr</w:t>
      </w:r>
      <w:r w:rsidR="00020E10" w:rsidRPr="0084402E">
        <w:rPr>
          <w:rFonts w:ascii="Arial" w:eastAsiaTheme="minorEastAsia" w:hAnsi="Arial" w:cs="Arial"/>
          <w:sz w:val="24"/>
          <w:szCs w:val="24"/>
        </w:rPr>
        <w:t xml:space="preserve">arse en situación especial o de </w:t>
      </w:r>
      <w:r w:rsidR="00437620" w:rsidRPr="0084402E">
        <w:rPr>
          <w:rFonts w:ascii="Arial" w:eastAsiaTheme="minorEastAsia" w:hAnsi="Arial" w:cs="Arial"/>
          <w:sz w:val="24"/>
          <w:szCs w:val="24"/>
        </w:rPr>
        <w:t>vulnerabilidad, no han tenido la oportunidad de cursar o concluir sus estudios de primaria.</w:t>
      </w:r>
    </w:p>
    <w:p w14:paraId="255E63C2" w14:textId="77777777" w:rsidR="00CC4F94" w:rsidRPr="0084402E" w:rsidRDefault="00CC4F94" w:rsidP="00CC4F94">
      <w:pPr>
        <w:spacing w:after="0" w:line="360" w:lineRule="auto"/>
        <w:jc w:val="both"/>
        <w:rPr>
          <w:rFonts w:ascii="Arial" w:eastAsiaTheme="minorEastAsia" w:hAnsi="Arial" w:cs="Arial"/>
          <w:sz w:val="24"/>
          <w:szCs w:val="24"/>
        </w:rPr>
      </w:pPr>
    </w:p>
    <w:p w14:paraId="1DD45968" w14:textId="5ED04363" w:rsidR="009F3862" w:rsidRPr="0084402E" w:rsidRDefault="009F3862" w:rsidP="00BD7044">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De acuerdo con las reglas de operación</w:t>
      </w:r>
      <w:r w:rsidR="00F27E45" w:rsidRPr="0084402E">
        <w:rPr>
          <w:rFonts w:ascii="Arial" w:eastAsiaTheme="minorEastAsia" w:hAnsi="Arial" w:cs="Arial"/>
          <w:sz w:val="24"/>
          <w:szCs w:val="24"/>
        </w:rPr>
        <w:t>,</w:t>
      </w:r>
      <w:r w:rsidRPr="0084402E">
        <w:rPr>
          <w:rFonts w:ascii="Arial" w:eastAsiaTheme="minorEastAsia" w:hAnsi="Arial" w:cs="Arial"/>
          <w:sz w:val="24"/>
          <w:szCs w:val="24"/>
        </w:rPr>
        <w:t xml:space="preserve"> el proceso de inscripción requiere una entrevista inicial con el interesado para conocer sus intereses y su perfil. También implica el reconocimiento de sus antecedentes educativos, en su caso, a través de evaluaciones diagnósticas o regis</w:t>
      </w:r>
      <w:r w:rsidR="00CC4F94" w:rsidRPr="0084402E">
        <w:rPr>
          <w:rFonts w:ascii="Arial" w:eastAsiaTheme="minorEastAsia" w:hAnsi="Arial" w:cs="Arial"/>
          <w:sz w:val="24"/>
          <w:szCs w:val="24"/>
        </w:rPr>
        <w:t xml:space="preserve">tro de certificados obtenidos. </w:t>
      </w:r>
      <w:r w:rsidRPr="0084402E">
        <w:rPr>
          <w:rFonts w:ascii="Arial" w:eastAsiaTheme="minorEastAsia" w:hAnsi="Arial" w:cs="Arial"/>
          <w:sz w:val="24"/>
          <w:szCs w:val="24"/>
        </w:rPr>
        <w:t>A los beneficiarios se les solicita acta de nacimiento y CURP. Es importante señalar que si el beneficiario no cuenta con estos documentos, no se le niega el servicio, si</w:t>
      </w:r>
      <w:r w:rsidR="00F27E45" w:rsidRPr="0084402E">
        <w:rPr>
          <w:rFonts w:ascii="Arial" w:eastAsiaTheme="minorEastAsia" w:hAnsi="Arial" w:cs="Arial"/>
          <w:sz w:val="24"/>
          <w:szCs w:val="24"/>
        </w:rPr>
        <w:t>no que les ayudan a tramitarlos;</w:t>
      </w:r>
      <w:r w:rsidRPr="0084402E">
        <w:rPr>
          <w:rFonts w:ascii="Arial" w:eastAsiaTheme="minorEastAsia" w:hAnsi="Arial" w:cs="Arial"/>
          <w:sz w:val="24"/>
          <w:szCs w:val="24"/>
        </w:rPr>
        <w:t xml:space="preserve"> las reglas de operación expresamente manifiestan “No se negará el servicio educativo por falta de documentación”.</w:t>
      </w:r>
    </w:p>
    <w:p w14:paraId="7676A599" w14:textId="77777777" w:rsidR="009F3862" w:rsidRPr="0084402E" w:rsidRDefault="009F3862" w:rsidP="00BD7044">
      <w:pPr>
        <w:spacing w:after="0" w:line="360" w:lineRule="auto"/>
        <w:jc w:val="both"/>
        <w:rPr>
          <w:rFonts w:ascii="Arial" w:eastAsiaTheme="minorEastAsia" w:hAnsi="Arial" w:cs="Arial"/>
          <w:sz w:val="24"/>
          <w:szCs w:val="24"/>
        </w:rPr>
      </w:pPr>
    </w:p>
    <w:p w14:paraId="000011FC" w14:textId="400A8030" w:rsidR="003D5FD1" w:rsidRPr="0084402E" w:rsidRDefault="00DC71DC" w:rsidP="00CC4F94">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La información sobre los beneficiarios generada mediante el proceso de inscripción</w:t>
      </w:r>
      <w:r w:rsidR="009F3862" w:rsidRPr="0084402E">
        <w:rPr>
          <w:rFonts w:ascii="Arial" w:eastAsiaTheme="minorEastAsia" w:hAnsi="Arial" w:cs="Arial"/>
          <w:sz w:val="24"/>
          <w:szCs w:val="24"/>
        </w:rPr>
        <w:t xml:space="preserve"> </w:t>
      </w:r>
      <w:r w:rsidRPr="0084402E">
        <w:rPr>
          <w:rFonts w:ascii="Arial" w:eastAsiaTheme="minorEastAsia" w:hAnsi="Arial" w:cs="Arial"/>
          <w:sz w:val="24"/>
          <w:szCs w:val="24"/>
        </w:rPr>
        <w:t>que asegura</w:t>
      </w:r>
      <w:r w:rsidR="009F3862" w:rsidRPr="0084402E">
        <w:rPr>
          <w:rFonts w:ascii="Arial" w:eastAsiaTheme="minorEastAsia" w:hAnsi="Arial" w:cs="Arial"/>
          <w:sz w:val="24"/>
          <w:szCs w:val="24"/>
        </w:rPr>
        <w:t xml:space="preserve"> que la población</w:t>
      </w:r>
      <w:r w:rsidRPr="0084402E">
        <w:rPr>
          <w:rFonts w:ascii="Arial" w:eastAsiaTheme="minorEastAsia" w:hAnsi="Arial" w:cs="Arial"/>
          <w:sz w:val="24"/>
          <w:szCs w:val="24"/>
        </w:rPr>
        <w:t xml:space="preserve"> que debe</w:t>
      </w:r>
      <w:r w:rsidR="009F3862" w:rsidRPr="0084402E">
        <w:rPr>
          <w:rFonts w:ascii="Arial" w:eastAsiaTheme="minorEastAsia" w:hAnsi="Arial" w:cs="Arial"/>
          <w:sz w:val="24"/>
          <w:szCs w:val="24"/>
        </w:rPr>
        <w:t xml:space="preserve"> recibir los servicios</w:t>
      </w:r>
      <w:r w:rsidRPr="0084402E">
        <w:rPr>
          <w:rFonts w:ascii="Arial" w:eastAsiaTheme="minorEastAsia" w:hAnsi="Arial" w:cs="Arial"/>
          <w:sz w:val="24"/>
          <w:szCs w:val="24"/>
        </w:rPr>
        <w:t xml:space="preserve">, </w:t>
      </w:r>
      <w:r w:rsidR="00F27E45" w:rsidRPr="0084402E">
        <w:rPr>
          <w:rFonts w:ascii="Arial" w:eastAsiaTheme="minorEastAsia" w:hAnsi="Arial" w:cs="Arial"/>
          <w:sz w:val="24"/>
          <w:szCs w:val="24"/>
        </w:rPr>
        <w:t>de acuerdo con el objetivo del F</w:t>
      </w:r>
      <w:r w:rsidRPr="0084402E">
        <w:rPr>
          <w:rFonts w:ascii="Arial" w:eastAsiaTheme="minorEastAsia" w:hAnsi="Arial" w:cs="Arial"/>
          <w:sz w:val="24"/>
          <w:szCs w:val="24"/>
        </w:rPr>
        <w:t>ondo,</w:t>
      </w:r>
      <w:r w:rsidR="009F3862" w:rsidRPr="0084402E">
        <w:rPr>
          <w:rFonts w:ascii="Arial" w:eastAsiaTheme="minorEastAsia" w:hAnsi="Arial" w:cs="Arial"/>
          <w:sz w:val="24"/>
          <w:szCs w:val="24"/>
        </w:rPr>
        <w:t xml:space="preserve"> sean efectivamente </w:t>
      </w:r>
      <w:r w:rsidRPr="0084402E">
        <w:rPr>
          <w:rFonts w:ascii="Arial" w:eastAsiaTheme="minorEastAsia" w:hAnsi="Arial" w:cs="Arial"/>
          <w:sz w:val="24"/>
          <w:szCs w:val="24"/>
        </w:rPr>
        <w:t xml:space="preserve">los beneficiarios, se registra en el Sistema Automatizado de Seguimiento y </w:t>
      </w:r>
      <w:r w:rsidR="00CC4F94" w:rsidRPr="0084402E">
        <w:rPr>
          <w:rFonts w:ascii="Arial" w:eastAsiaTheme="minorEastAsia" w:hAnsi="Arial" w:cs="Arial"/>
          <w:sz w:val="24"/>
          <w:szCs w:val="24"/>
        </w:rPr>
        <w:t xml:space="preserve">Acreditación (SASA), que es un </w:t>
      </w:r>
      <w:r w:rsidRPr="0084402E">
        <w:rPr>
          <w:rFonts w:ascii="Arial" w:eastAsiaTheme="minorEastAsia" w:hAnsi="Arial" w:cs="Arial"/>
          <w:sz w:val="24"/>
          <w:szCs w:val="24"/>
        </w:rPr>
        <w:t>s</w:t>
      </w:r>
      <w:r w:rsidR="00251C03" w:rsidRPr="0084402E">
        <w:rPr>
          <w:rFonts w:ascii="Arial" w:eastAsiaTheme="minorEastAsia" w:hAnsi="Arial" w:cs="Arial"/>
          <w:sz w:val="24"/>
          <w:szCs w:val="24"/>
        </w:rPr>
        <w:t>istema de registro nacional y control de la incorporación, acreditación, avance</w:t>
      </w:r>
      <w:r w:rsidRPr="0084402E">
        <w:rPr>
          <w:rFonts w:ascii="Arial" w:eastAsiaTheme="minorEastAsia" w:hAnsi="Arial" w:cs="Arial"/>
          <w:sz w:val="24"/>
          <w:szCs w:val="24"/>
        </w:rPr>
        <w:t xml:space="preserve"> académico y </w:t>
      </w:r>
      <w:r w:rsidR="00251C03" w:rsidRPr="0084402E">
        <w:rPr>
          <w:rFonts w:ascii="Arial" w:eastAsiaTheme="minorEastAsia" w:hAnsi="Arial" w:cs="Arial"/>
          <w:sz w:val="24"/>
          <w:szCs w:val="24"/>
        </w:rPr>
        <w:t>certificación de adultos, además del registro de las figuras</w:t>
      </w:r>
      <w:r w:rsidRPr="0084402E">
        <w:rPr>
          <w:rFonts w:ascii="Arial" w:eastAsiaTheme="minorEastAsia" w:hAnsi="Arial" w:cs="Arial"/>
          <w:sz w:val="24"/>
          <w:szCs w:val="24"/>
        </w:rPr>
        <w:t xml:space="preserve"> </w:t>
      </w:r>
      <w:r w:rsidR="00251C03" w:rsidRPr="0084402E">
        <w:rPr>
          <w:rFonts w:ascii="Arial" w:eastAsiaTheme="minorEastAsia" w:hAnsi="Arial" w:cs="Arial"/>
          <w:sz w:val="24"/>
          <w:szCs w:val="24"/>
        </w:rPr>
        <w:t>operativ</w:t>
      </w:r>
      <w:r w:rsidRPr="0084402E">
        <w:rPr>
          <w:rFonts w:ascii="Arial" w:eastAsiaTheme="minorEastAsia" w:hAnsi="Arial" w:cs="Arial"/>
          <w:sz w:val="24"/>
          <w:szCs w:val="24"/>
        </w:rPr>
        <w:t xml:space="preserve">as y la generación y control de </w:t>
      </w:r>
      <w:r w:rsidR="00251C03" w:rsidRPr="0084402E">
        <w:rPr>
          <w:rFonts w:ascii="Arial" w:eastAsiaTheme="minorEastAsia" w:hAnsi="Arial" w:cs="Arial"/>
          <w:sz w:val="24"/>
          <w:szCs w:val="24"/>
        </w:rPr>
        <w:t>apoyos económicos de las</w:t>
      </w:r>
      <w:r w:rsidRPr="0084402E">
        <w:rPr>
          <w:rFonts w:ascii="Arial" w:eastAsiaTheme="minorEastAsia" w:hAnsi="Arial" w:cs="Arial"/>
          <w:sz w:val="24"/>
          <w:szCs w:val="24"/>
        </w:rPr>
        <w:t xml:space="preserve"> </w:t>
      </w:r>
      <w:r w:rsidR="00251C03" w:rsidRPr="0084402E">
        <w:rPr>
          <w:rFonts w:ascii="Arial" w:eastAsiaTheme="minorEastAsia" w:hAnsi="Arial" w:cs="Arial"/>
          <w:sz w:val="24"/>
          <w:szCs w:val="24"/>
        </w:rPr>
        <w:t>figuras solidarias.</w:t>
      </w:r>
    </w:p>
    <w:p w14:paraId="1DBE96C3" w14:textId="77777777" w:rsidR="00C61957" w:rsidRPr="0084402E" w:rsidRDefault="00C61957" w:rsidP="004C0514">
      <w:pPr>
        <w:spacing w:after="0" w:line="360" w:lineRule="auto"/>
        <w:jc w:val="center"/>
        <w:rPr>
          <w:rFonts w:ascii="Arial" w:hAnsi="Arial" w:cs="Arial"/>
          <w:sz w:val="24"/>
          <w:szCs w:val="24"/>
        </w:rPr>
      </w:pPr>
    </w:p>
    <w:p w14:paraId="33AA82BF" w14:textId="77777777" w:rsidR="00C61957" w:rsidRPr="0084402E" w:rsidRDefault="00C61957" w:rsidP="004C0514">
      <w:pPr>
        <w:spacing w:after="0" w:line="360" w:lineRule="auto"/>
        <w:jc w:val="center"/>
        <w:rPr>
          <w:rFonts w:ascii="Arial" w:hAnsi="Arial" w:cs="Arial"/>
          <w:sz w:val="24"/>
          <w:szCs w:val="24"/>
        </w:rPr>
      </w:pPr>
    </w:p>
    <w:p w14:paraId="2F669ABA" w14:textId="77777777" w:rsidR="00C61957" w:rsidRPr="0084402E" w:rsidRDefault="00C61957" w:rsidP="004C0514">
      <w:pPr>
        <w:spacing w:after="0" w:line="360" w:lineRule="auto"/>
        <w:jc w:val="center"/>
        <w:rPr>
          <w:rFonts w:ascii="Arial" w:hAnsi="Arial" w:cs="Arial"/>
          <w:sz w:val="24"/>
          <w:szCs w:val="24"/>
        </w:rPr>
      </w:pPr>
    </w:p>
    <w:p w14:paraId="0E4A9409" w14:textId="77777777" w:rsidR="00C61957" w:rsidRPr="0084402E" w:rsidRDefault="00C61957" w:rsidP="004C0514">
      <w:pPr>
        <w:spacing w:after="0" w:line="360" w:lineRule="auto"/>
        <w:jc w:val="center"/>
        <w:rPr>
          <w:rFonts w:ascii="Arial" w:hAnsi="Arial" w:cs="Arial"/>
          <w:sz w:val="24"/>
          <w:szCs w:val="24"/>
        </w:rPr>
      </w:pPr>
    </w:p>
    <w:p w14:paraId="5E1DD52A" w14:textId="77777777" w:rsidR="00C61957" w:rsidRPr="0084402E" w:rsidRDefault="00C61957" w:rsidP="004C0514">
      <w:pPr>
        <w:spacing w:after="0" w:line="360" w:lineRule="auto"/>
        <w:jc w:val="center"/>
        <w:rPr>
          <w:rFonts w:ascii="Arial" w:hAnsi="Arial" w:cs="Arial"/>
          <w:sz w:val="24"/>
          <w:szCs w:val="24"/>
        </w:rPr>
      </w:pPr>
    </w:p>
    <w:p w14:paraId="22331807" w14:textId="77777777" w:rsidR="00CC4F94" w:rsidRPr="0084402E" w:rsidRDefault="00CC4F94" w:rsidP="004C0514">
      <w:pPr>
        <w:spacing w:after="0" w:line="360" w:lineRule="auto"/>
        <w:jc w:val="center"/>
        <w:rPr>
          <w:rFonts w:ascii="Arial" w:hAnsi="Arial" w:cs="Arial"/>
          <w:sz w:val="24"/>
          <w:szCs w:val="24"/>
        </w:rPr>
      </w:pPr>
    </w:p>
    <w:p w14:paraId="3987996E" w14:textId="77777777" w:rsidR="00C61957" w:rsidRPr="0084402E" w:rsidRDefault="00C61957" w:rsidP="004C0514">
      <w:pPr>
        <w:spacing w:after="0" w:line="360" w:lineRule="auto"/>
        <w:jc w:val="center"/>
        <w:rPr>
          <w:rFonts w:ascii="Arial" w:hAnsi="Arial" w:cs="Arial"/>
          <w:sz w:val="24"/>
          <w:szCs w:val="24"/>
        </w:rPr>
      </w:pPr>
    </w:p>
    <w:p w14:paraId="5FC33A06" w14:textId="77777777" w:rsidR="002835DF" w:rsidRPr="0084402E" w:rsidRDefault="002835DF" w:rsidP="004C0514">
      <w:pPr>
        <w:spacing w:after="0" w:line="360" w:lineRule="auto"/>
        <w:jc w:val="center"/>
        <w:rPr>
          <w:rFonts w:ascii="Arial" w:hAnsi="Arial" w:cs="Arial"/>
          <w:sz w:val="24"/>
          <w:szCs w:val="24"/>
        </w:rPr>
      </w:pPr>
    </w:p>
    <w:p w14:paraId="5F95D158" w14:textId="77777777" w:rsidR="002835DF" w:rsidRPr="0084402E" w:rsidRDefault="002835DF" w:rsidP="004C0514">
      <w:pPr>
        <w:spacing w:after="0" w:line="360" w:lineRule="auto"/>
        <w:jc w:val="center"/>
        <w:rPr>
          <w:rFonts w:ascii="Arial" w:hAnsi="Arial" w:cs="Arial"/>
          <w:sz w:val="24"/>
          <w:szCs w:val="24"/>
        </w:rPr>
      </w:pPr>
    </w:p>
    <w:p w14:paraId="118CFCA8" w14:textId="77777777" w:rsidR="002835DF" w:rsidRPr="0084402E" w:rsidRDefault="002835DF" w:rsidP="004C0514">
      <w:pPr>
        <w:spacing w:after="0" w:line="360" w:lineRule="auto"/>
        <w:jc w:val="center"/>
        <w:rPr>
          <w:rFonts w:ascii="Arial" w:hAnsi="Arial" w:cs="Arial"/>
          <w:sz w:val="24"/>
          <w:szCs w:val="24"/>
        </w:rPr>
      </w:pPr>
    </w:p>
    <w:p w14:paraId="68C56AC8" w14:textId="77777777" w:rsidR="002835DF" w:rsidRDefault="002835DF" w:rsidP="004C0514">
      <w:pPr>
        <w:spacing w:after="0" w:line="360" w:lineRule="auto"/>
        <w:jc w:val="center"/>
        <w:rPr>
          <w:rFonts w:ascii="Arial" w:hAnsi="Arial" w:cs="Arial"/>
          <w:sz w:val="24"/>
          <w:szCs w:val="24"/>
        </w:rPr>
      </w:pPr>
    </w:p>
    <w:p w14:paraId="62BE9D1D" w14:textId="77777777" w:rsidR="00315EF2" w:rsidRDefault="00315EF2" w:rsidP="004C0514">
      <w:pPr>
        <w:spacing w:after="0" w:line="360" w:lineRule="auto"/>
        <w:jc w:val="center"/>
        <w:rPr>
          <w:rFonts w:ascii="Arial" w:hAnsi="Arial" w:cs="Arial"/>
          <w:sz w:val="24"/>
          <w:szCs w:val="24"/>
        </w:rPr>
      </w:pPr>
    </w:p>
    <w:p w14:paraId="459E3B4D" w14:textId="77777777" w:rsidR="00315EF2" w:rsidRDefault="00315EF2" w:rsidP="004C0514">
      <w:pPr>
        <w:spacing w:after="0" w:line="360" w:lineRule="auto"/>
        <w:jc w:val="center"/>
        <w:rPr>
          <w:rFonts w:ascii="Arial" w:hAnsi="Arial" w:cs="Arial"/>
          <w:sz w:val="24"/>
          <w:szCs w:val="24"/>
        </w:rPr>
      </w:pPr>
    </w:p>
    <w:p w14:paraId="6255C3AD" w14:textId="77777777" w:rsidR="00315EF2" w:rsidRDefault="00315EF2" w:rsidP="004C0514">
      <w:pPr>
        <w:spacing w:after="0" w:line="360" w:lineRule="auto"/>
        <w:jc w:val="center"/>
        <w:rPr>
          <w:rFonts w:ascii="Arial" w:hAnsi="Arial" w:cs="Arial"/>
          <w:sz w:val="24"/>
          <w:szCs w:val="24"/>
        </w:rPr>
      </w:pPr>
    </w:p>
    <w:p w14:paraId="2215DD64" w14:textId="77777777" w:rsidR="00C61957" w:rsidRPr="0084402E" w:rsidRDefault="00C61957" w:rsidP="004C0514">
      <w:pPr>
        <w:spacing w:after="0" w:line="360" w:lineRule="auto"/>
        <w:jc w:val="center"/>
        <w:rPr>
          <w:rFonts w:ascii="Arial" w:hAnsi="Arial" w:cs="Arial"/>
          <w:sz w:val="24"/>
          <w:szCs w:val="24"/>
        </w:rPr>
      </w:pPr>
    </w:p>
    <w:p w14:paraId="3BDB034B" w14:textId="77777777" w:rsidR="00C61957" w:rsidRPr="0084402E" w:rsidRDefault="00C61957" w:rsidP="004C0514">
      <w:pPr>
        <w:spacing w:after="0" w:line="360" w:lineRule="auto"/>
        <w:jc w:val="center"/>
        <w:rPr>
          <w:rFonts w:ascii="Arial" w:hAnsi="Arial" w:cs="Arial"/>
          <w:sz w:val="24"/>
          <w:szCs w:val="24"/>
        </w:rPr>
      </w:pPr>
    </w:p>
    <w:p w14:paraId="5C1A3667" w14:textId="77777777" w:rsidR="00C61957" w:rsidRPr="0084402E" w:rsidRDefault="00C2204B" w:rsidP="004C0514">
      <w:pPr>
        <w:spacing w:after="0" w:line="360" w:lineRule="auto"/>
        <w:jc w:val="center"/>
        <w:rPr>
          <w:rFonts w:ascii="Arial" w:eastAsiaTheme="minorEastAsia" w:hAnsi="Arial" w:cs="Arial"/>
          <w:b/>
          <w:sz w:val="24"/>
          <w:szCs w:val="24"/>
        </w:rPr>
      </w:pPr>
      <w:r w:rsidRPr="0084402E">
        <w:rPr>
          <w:rFonts w:ascii="Arial" w:hAnsi="Arial" w:cs="Arial"/>
          <w:b/>
          <w:sz w:val="24"/>
          <w:szCs w:val="24"/>
        </w:rPr>
        <w:t xml:space="preserve"> IV. </w:t>
      </w:r>
      <w:r w:rsidRPr="0084402E">
        <w:rPr>
          <w:rFonts w:ascii="Arial" w:eastAsiaTheme="minorEastAsia" w:hAnsi="Arial" w:cs="Arial"/>
          <w:b/>
          <w:sz w:val="24"/>
          <w:szCs w:val="24"/>
        </w:rPr>
        <w:t>INDICADORES</w:t>
      </w:r>
    </w:p>
    <w:p w14:paraId="74A5E54E" w14:textId="77777777" w:rsidR="00C61957" w:rsidRPr="0084402E" w:rsidRDefault="00C61957" w:rsidP="004C0514">
      <w:pPr>
        <w:spacing w:after="0" w:line="240" w:lineRule="auto"/>
        <w:rPr>
          <w:rFonts w:ascii="Arial" w:eastAsiaTheme="minorEastAsia" w:hAnsi="Arial" w:cs="Arial"/>
          <w:b/>
          <w:i/>
          <w:sz w:val="24"/>
          <w:szCs w:val="24"/>
        </w:rPr>
      </w:pPr>
    </w:p>
    <w:p w14:paraId="1B5AE403" w14:textId="77777777" w:rsidR="00C61957" w:rsidRPr="0084402E" w:rsidRDefault="00C61957" w:rsidP="004C0514">
      <w:pPr>
        <w:spacing w:after="0" w:line="240" w:lineRule="auto"/>
        <w:rPr>
          <w:rFonts w:ascii="Arial" w:eastAsiaTheme="minorEastAsia" w:hAnsi="Arial" w:cs="Arial"/>
          <w:b/>
          <w:i/>
          <w:sz w:val="24"/>
          <w:szCs w:val="24"/>
        </w:rPr>
      </w:pPr>
      <w:r w:rsidRPr="0084402E">
        <w:rPr>
          <w:rFonts w:ascii="Arial" w:eastAsiaTheme="minorEastAsia" w:hAnsi="Arial" w:cs="Arial"/>
          <w:b/>
          <w:i/>
          <w:sz w:val="24"/>
          <w:szCs w:val="24"/>
        </w:rPr>
        <w:br w:type="page"/>
      </w:r>
    </w:p>
    <w:p w14:paraId="08EA188A" w14:textId="77777777" w:rsidR="00C671F3" w:rsidRPr="0084402E" w:rsidRDefault="00C671F3" w:rsidP="002D4695">
      <w:pPr>
        <w:spacing w:after="0" w:line="360" w:lineRule="auto"/>
        <w:ind w:left="283"/>
        <w:jc w:val="both"/>
        <w:rPr>
          <w:rFonts w:ascii="Arial" w:eastAsiaTheme="minorEastAsia" w:hAnsi="Arial" w:cs="Arial"/>
          <w:b/>
          <w:i/>
          <w:sz w:val="24"/>
          <w:szCs w:val="24"/>
        </w:rPr>
      </w:pPr>
      <w:r w:rsidRPr="0084402E">
        <w:rPr>
          <w:rFonts w:ascii="Arial" w:eastAsiaTheme="minorEastAsia" w:hAnsi="Arial" w:cs="Arial"/>
          <w:b/>
          <w:bCs/>
          <w:sz w:val="24"/>
          <w:szCs w:val="24"/>
        </w:rPr>
        <w:lastRenderedPageBreak/>
        <w:t xml:space="preserve">9. </w:t>
      </w:r>
      <w:r w:rsidRPr="0084402E">
        <w:rPr>
          <w:rFonts w:ascii="Arial" w:eastAsiaTheme="minorEastAsia" w:hAnsi="Arial" w:cs="Arial"/>
          <w:b/>
          <w:bCs/>
          <w:i/>
          <w:sz w:val="24"/>
          <w:szCs w:val="24"/>
        </w:rPr>
        <w:t>Informe sobre los resultados de la ficha técnica de indicadores “PASH” (Portal Aplicativo de la SHCP).</w:t>
      </w:r>
    </w:p>
    <w:p w14:paraId="06F150E7" w14:textId="77777777" w:rsidR="00307D84" w:rsidRPr="0084402E" w:rsidRDefault="00307D84" w:rsidP="002D4695">
      <w:pPr>
        <w:spacing w:after="0" w:line="360" w:lineRule="auto"/>
        <w:jc w:val="both"/>
        <w:rPr>
          <w:rFonts w:ascii="Arial" w:eastAsiaTheme="minorEastAsia" w:hAnsi="Arial" w:cs="Arial"/>
          <w:b/>
          <w:sz w:val="24"/>
          <w:szCs w:val="24"/>
        </w:rPr>
      </w:pPr>
    </w:p>
    <w:p w14:paraId="4740B98A" w14:textId="77777777" w:rsidR="002D4695" w:rsidRPr="0084402E" w:rsidRDefault="002D4695" w:rsidP="002D4695">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RESPUESTA:</w:t>
      </w:r>
    </w:p>
    <w:p w14:paraId="191AB9AD" w14:textId="77777777" w:rsidR="00A61E93" w:rsidRPr="0084402E" w:rsidRDefault="002F532F" w:rsidP="004C0514">
      <w:pPr>
        <w:spacing w:after="0" w:line="360" w:lineRule="auto"/>
        <w:rPr>
          <w:rFonts w:ascii="Arial" w:eastAsiaTheme="minorEastAsia" w:hAnsi="Arial" w:cs="Arial"/>
          <w:sz w:val="24"/>
          <w:szCs w:val="24"/>
        </w:rPr>
      </w:pPr>
      <w:r w:rsidRPr="0084402E">
        <w:rPr>
          <w:noProof/>
          <w:sz w:val="24"/>
          <w:szCs w:val="24"/>
          <w:lang w:val="es-ES_tradnl" w:eastAsia="es-ES_tradnl"/>
        </w:rPr>
        <w:drawing>
          <wp:inline distT="0" distB="0" distL="0" distR="0" wp14:anchorId="525ECD0B" wp14:editId="19ED1037">
            <wp:extent cx="6260465" cy="5638393"/>
            <wp:effectExtent l="19050" t="0" r="6985"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260465" cy="5638393"/>
                    </a:xfrm>
                    <a:prstGeom prst="rect">
                      <a:avLst/>
                    </a:prstGeom>
                    <a:noFill/>
                    <a:ln w="9525">
                      <a:noFill/>
                      <a:miter lim="800000"/>
                      <a:headEnd/>
                      <a:tailEnd/>
                    </a:ln>
                  </pic:spPr>
                </pic:pic>
              </a:graphicData>
            </a:graphic>
          </wp:inline>
        </w:drawing>
      </w:r>
    </w:p>
    <w:p w14:paraId="3151F3D2" w14:textId="77777777" w:rsidR="00216B0B" w:rsidRPr="0084402E" w:rsidRDefault="00216B0B" w:rsidP="004C0514">
      <w:pPr>
        <w:spacing w:after="0" w:line="360" w:lineRule="auto"/>
        <w:rPr>
          <w:rFonts w:ascii="Arial" w:eastAsiaTheme="minorEastAsia" w:hAnsi="Arial" w:cs="Arial"/>
          <w:sz w:val="24"/>
          <w:szCs w:val="24"/>
        </w:rPr>
      </w:pPr>
      <w:r w:rsidRPr="0084402E">
        <w:rPr>
          <w:noProof/>
          <w:sz w:val="24"/>
          <w:szCs w:val="24"/>
          <w:lang w:val="es-ES_tradnl" w:eastAsia="es-ES_tradnl"/>
        </w:rPr>
        <w:lastRenderedPageBreak/>
        <w:drawing>
          <wp:inline distT="0" distB="0" distL="0" distR="0" wp14:anchorId="3693D311" wp14:editId="6014F8C8">
            <wp:extent cx="6260465" cy="5455833"/>
            <wp:effectExtent l="19050" t="0" r="6985"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260465" cy="5455833"/>
                    </a:xfrm>
                    <a:prstGeom prst="rect">
                      <a:avLst/>
                    </a:prstGeom>
                    <a:noFill/>
                    <a:ln w="9525">
                      <a:noFill/>
                      <a:miter lim="800000"/>
                      <a:headEnd/>
                      <a:tailEnd/>
                    </a:ln>
                  </pic:spPr>
                </pic:pic>
              </a:graphicData>
            </a:graphic>
          </wp:inline>
        </w:drawing>
      </w:r>
    </w:p>
    <w:p w14:paraId="72B96031" w14:textId="149AE9E4" w:rsidR="00307D84" w:rsidRDefault="005F4771" w:rsidP="00307D84">
      <w:pPr>
        <w:spacing w:after="0" w:line="360" w:lineRule="auto"/>
        <w:jc w:val="both"/>
        <w:rPr>
          <w:rFonts w:ascii="Arial" w:eastAsia="Times New Roman" w:hAnsi="Arial" w:cs="Arial"/>
          <w:b/>
          <w:color w:val="000000"/>
          <w:sz w:val="20"/>
          <w:szCs w:val="24"/>
          <w:lang w:eastAsia="es-MX"/>
        </w:rPr>
      </w:pPr>
      <w:r w:rsidRPr="005F4771">
        <w:rPr>
          <w:rFonts w:ascii="Arial" w:eastAsia="Times New Roman" w:hAnsi="Arial" w:cs="Arial"/>
          <w:b/>
          <w:color w:val="000000"/>
          <w:sz w:val="20"/>
          <w:szCs w:val="24"/>
          <w:lang w:eastAsia="es-MX"/>
        </w:rPr>
        <w:t xml:space="preserve">Fuente: INDETEC </w:t>
      </w:r>
    </w:p>
    <w:p w14:paraId="160B7C30" w14:textId="77777777" w:rsidR="005F4771" w:rsidRPr="0084402E" w:rsidRDefault="005F4771" w:rsidP="00307D84">
      <w:pPr>
        <w:spacing w:after="0" w:line="360" w:lineRule="auto"/>
        <w:jc w:val="both"/>
        <w:rPr>
          <w:rFonts w:ascii="Arial" w:eastAsiaTheme="minorEastAsia" w:hAnsi="Arial" w:cs="Arial"/>
          <w:sz w:val="24"/>
          <w:szCs w:val="24"/>
        </w:rPr>
      </w:pPr>
    </w:p>
    <w:p w14:paraId="30038E31" w14:textId="75F91ADB" w:rsidR="0097371C" w:rsidRPr="0084402E" w:rsidRDefault="003F4926" w:rsidP="00307D84">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Los indicadores de componente proporcionan información respecto del logro educativo de las personas atendidas en los servicios educativos por nivel: alfabetización, primaria y secundaria. Destaca que para los tres niveles se supera la meta establecida en 16.95%, 20.34% y 8.06%, respectivamente. Esto quiere decir que el programa ha sido exitoso en cuanto al logro educativo de las personas que reciben los servicios educativos, con lo que se infiere que el IEAEY,</w:t>
      </w:r>
      <w:r w:rsidR="0097371C" w:rsidRPr="0084402E">
        <w:rPr>
          <w:rFonts w:ascii="Arial" w:eastAsiaTheme="minorEastAsia" w:hAnsi="Arial" w:cs="Arial"/>
          <w:sz w:val="24"/>
          <w:szCs w:val="24"/>
        </w:rPr>
        <w:t xml:space="preserve"> como dependencia responsable</w:t>
      </w:r>
      <w:r w:rsidRPr="0084402E">
        <w:rPr>
          <w:rFonts w:ascii="Arial" w:eastAsiaTheme="minorEastAsia" w:hAnsi="Arial" w:cs="Arial"/>
          <w:sz w:val="24"/>
          <w:szCs w:val="24"/>
        </w:rPr>
        <w:t xml:space="preserve"> de la operación de los mismos, </w:t>
      </w:r>
      <w:r w:rsidRPr="0084402E">
        <w:rPr>
          <w:rFonts w:ascii="Arial" w:eastAsiaTheme="minorEastAsia" w:hAnsi="Arial" w:cs="Arial"/>
          <w:sz w:val="24"/>
          <w:szCs w:val="24"/>
        </w:rPr>
        <w:lastRenderedPageBreak/>
        <w:t xml:space="preserve">está teniendo éxito en la implementación del modelo educativo y en el otorgamiento </w:t>
      </w:r>
      <w:r w:rsidR="00AE45B8" w:rsidRPr="0084402E">
        <w:rPr>
          <w:rFonts w:ascii="Arial" w:eastAsiaTheme="minorEastAsia" w:hAnsi="Arial" w:cs="Arial"/>
          <w:sz w:val="24"/>
          <w:szCs w:val="24"/>
        </w:rPr>
        <w:t>de estos servicios. No obstante</w:t>
      </w:r>
      <w:r w:rsidR="00F27E45" w:rsidRPr="0084402E">
        <w:rPr>
          <w:rFonts w:ascii="Arial" w:eastAsiaTheme="minorEastAsia" w:hAnsi="Arial" w:cs="Arial"/>
          <w:sz w:val="24"/>
          <w:szCs w:val="24"/>
        </w:rPr>
        <w:t>,</w:t>
      </w:r>
      <w:r w:rsidR="00AE45B8" w:rsidRPr="0084402E">
        <w:rPr>
          <w:rFonts w:ascii="Arial" w:eastAsiaTheme="minorEastAsia" w:hAnsi="Arial" w:cs="Arial"/>
          <w:sz w:val="24"/>
          <w:szCs w:val="24"/>
        </w:rPr>
        <w:t xml:space="preserve"> no hay seguimiento reportado en el Sistema de Formato Único</w:t>
      </w:r>
      <w:r w:rsidRPr="0084402E">
        <w:rPr>
          <w:rFonts w:ascii="Arial" w:eastAsiaTheme="minorEastAsia" w:hAnsi="Arial" w:cs="Arial"/>
          <w:sz w:val="24"/>
          <w:szCs w:val="24"/>
        </w:rPr>
        <w:t xml:space="preserve"> </w:t>
      </w:r>
      <w:r w:rsidR="0097371C" w:rsidRPr="0084402E">
        <w:rPr>
          <w:rFonts w:ascii="Arial" w:eastAsiaTheme="minorEastAsia" w:hAnsi="Arial" w:cs="Arial"/>
          <w:sz w:val="24"/>
          <w:szCs w:val="24"/>
        </w:rPr>
        <w:t>para los indicadores de P</w:t>
      </w:r>
      <w:r w:rsidRPr="0084402E">
        <w:rPr>
          <w:rFonts w:ascii="Arial" w:eastAsiaTheme="minorEastAsia" w:hAnsi="Arial" w:cs="Arial"/>
          <w:sz w:val="24"/>
          <w:szCs w:val="24"/>
        </w:rPr>
        <w:t>ropósito y d</w:t>
      </w:r>
      <w:r w:rsidR="0097371C" w:rsidRPr="0084402E">
        <w:rPr>
          <w:rFonts w:ascii="Arial" w:eastAsiaTheme="minorEastAsia" w:hAnsi="Arial" w:cs="Arial"/>
          <w:sz w:val="24"/>
          <w:szCs w:val="24"/>
        </w:rPr>
        <w:t>e F</w:t>
      </w:r>
      <w:r w:rsidRPr="0084402E">
        <w:rPr>
          <w:rFonts w:ascii="Arial" w:eastAsiaTheme="minorEastAsia" w:hAnsi="Arial" w:cs="Arial"/>
          <w:sz w:val="24"/>
          <w:szCs w:val="24"/>
        </w:rPr>
        <w:t xml:space="preserve">in, que </w:t>
      </w:r>
      <w:r w:rsidR="00E570D4" w:rsidRPr="0084402E">
        <w:rPr>
          <w:rFonts w:ascii="Arial" w:eastAsiaTheme="minorEastAsia" w:hAnsi="Arial" w:cs="Arial"/>
          <w:sz w:val="24"/>
          <w:szCs w:val="24"/>
        </w:rPr>
        <w:t xml:space="preserve">proporcionan información para evaluar el </w:t>
      </w:r>
      <w:r w:rsidR="00C139CD" w:rsidRPr="0084402E">
        <w:rPr>
          <w:rFonts w:ascii="Arial" w:eastAsiaTheme="minorEastAsia" w:hAnsi="Arial" w:cs="Arial"/>
          <w:sz w:val="24"/>
          <w:szCs w:val="24"/>
        </w:rPr>
        <w:t xml:space="preserve">abatimiento al </w:t>
      </w:r>
      <w:r w:rsidR="00C43CA7" w:rsidRPr="0084402E">
        <w:rPr>
          <w:rFonts w:ascii="Arial" w:eastAsiaTheme="minorEastAsia" w:hAnsi="Arial" w:cs="Arial"/>
          <w:sz w:val="24"/>
          <w:szCs w:val="24"/>
        </w:rPr>
        <w:t xml:space="preserve">incremento neto del rezago educativo y el impacto </w:t>
      </w:r>
      <w:r w:rsidR="00AE45B8" w:rsidRPr="0084402E">
        <w:rPr>
          <w:rFonts w:ascii="Arial" w:eastAsiaTheme="minorEastAsia" w:hAnsi="Arial" w:cs="Arial"/>
          <w:sz w:val="24"/>
          <w:szCs w:val="24"/>
        </w:rPr>
        <w:t xml:space="preserve">al rezago educativo, respectivamente, lo que tiene </w:t>
      </w:r>
      <w:r w:rsidR="00DD04E2" w:rsidRPr="0084402E">
        <w:rPr>
          <w:rFonts w:ascii="Arial" w:eastAsiaTheme="minorEastAsia" w:hAnsi="Arial" w:cs="Arial"/>
          <w:sz w:val="24"/>
          <w:szCs w:val="24"/>
        </w:rPr>
        <w:t>dos implicaciones importantes: 1) no es posible evaluar el desempeño estratégico del programa que se relaciona con el abatimiento de la problemática</w:t>
      </w:r>
      <w:r w:rsidR="00F54C38" w:rsidRPr="0084402E">
        <w:rPr>
          <w:rFonts w:ascii="Arial" w:eastAsiaTheme="minorEastAsia" w:hAnsi="Arial" w:cs="Arial"/>
          <w:sz w:val="24"/>
          <w:szCs w:val="24"/>
        </w:rPr>
        <w:t>, es decir</w:t>
      </w:r>
      <w:r w:rsidR="00F27E45" w:rsidRPr="0084402E">
        <w:rPr>
          <w:rFonts w:ascii="Arial" w:eastAsiaTheme="minorEastAsia" w:hAnsi="Arial" w:cs="Arial"/>
          <w:sz w:val="24"/>
          <w:szCs w:val="24"/>
        </w:rPr>
        <w:t>,</w:t>
      </w:r>
      <w:r w:rsidR="00F54C38" w:rsidRPr="0084402E">
        <w:rPr>
          <w:rFonts w:ascii="Arial" w:eastAsiaTheme="minorEastAsia" w:hAnsi="Arial" w:cs="Arial"/>
          <w:sz w:val="24"/>
          <w:szCs w:val="24"/>
        </w:rPr>
        <w:t xml:space="preserve"> las personas q</w:t>
      </w:r>
      <w:r w:rsidR="00307D84" w:rsidRPr="0084402E">
        <w:rPr>
          <w:rFonts w:ascii="Arial" w:eastAsiaTheme="minorEastAsia" w:hAnsi="Arial" w:cs="Arial"/>
          <w:sz w:val="24"/>
          <w:szCs w:val="24"/>
        </w:rPr>
        <w:t xml:space="preserve">ue superan el rezago educativo </w:t>
      </w:r>
      <w:r w:rsidR="00F54C38" w:rsidRPr="0084402E">
        <w:rPr>
          <w:rFonts w:ascii="Arial" w:eastAsiaTheme="minorEastAsia" w:hAnsi="Arial" w:cs="Arial"/>
          <w:sz w:val="24"/>
          <w:szCs w:val="24"/>
        </w:rPr>
        <w:t>en comparación con las que continúan en rezago educativo o con las que ingresan al rezago educativo</w:t>
      </w:r>
      <w:r w:rsidR="00DD04E2" w:rsidRPr="0084402E">
        <w:rPr>
          <w:rFonts w:ascii="Arial" w:eastAsiaTheme="minorEastAsia" w:hAnsi="Arial" w:cs="Arial"/>
          <w:sz w:val="24"/>
          <w:szCs w:val="24"/>
        </w:rPr>
        <w:t>; 2) se est</w:t>
      </w:r>
      <w:r w:rsidR="00F54C38" w:rsidRPr="0084402E">
        <w:rPr>
          <w:rFonts w:ascii="Arial" w:eastAsiaTheme="minorEastAsia" w:hAnsi="Arial" w:cs="Arial"/>
          <w:sz w:val="24"/>
          <w:szCs w:val="24"/>
        </w:rPr>
        <w:t>á cumpliendo parcialmente con la ob</w:t>
      </w:r>
      <w:r w:rsidR="00307D84" w:rsidRPr="0084402E">
        <w:rPr>
          <w:rFonts w:ascii="Arial" w:eastAsiaTheme="minorEastAsia" w:hAnsi="Arial" w:cs="Arial"/>
          <w:sz w:val="24"/>
          <w:szCs w:val="24"/>
        </w:rPr>
        <w:t xml:space="preserve">ligación de informar acerca de </w:t>
      </w:r>
      <w:r w:rsidR="00F54C38" w:rsidRPr="0084402E">
        <w:rPr>
          <w:rFonts w:ascii="Arial" w:eastAsiaTheme="minorEastAsia" w:hAnsi="Arial" w:cs="Arial"/>
          <w:sz w:val="24"/>
          <w:szCs w:val="24"/>
        </w:rPr>
        <w:t xml:space="preserve">los resultados del ejercicio de los recursos establecida en la normatividad del Fondo (LCF, LFPRH, LGCG, y los Lineamientos para informar sobre los recursos federales transferidos a las entidades federativas, municipios y demarcaciones territoriales del Distrito Federal, y de operación del Ramo General </w:t>
      </w:r>
      <w:r w:rsidR="002A1F05" w:rsidRPr="0084402E">
        <w:rPr>
          <w:rFonts w:ascii="Arial" w:eastAsiaTheme="minorEastAsia" w:hAnsi="Arial" w:cs="Arial"/>
          <w:sz w:val="24"/>
          <w:szCs w:val="24"/>
        </w:rPr>
        <w:t>33).</w:t>
      </w:r>
    </w:p>
    <w:p w14:paraId="1372AB8B" w14:textId="77777777" w:rsidR="002A1F05" w:rsidRPr="0084402E" w:rsidRDefault="002A1F05" w:rsidP="00015271">
      <w:pPr>
        <w:spacing w:after="0" w:line="360" w:lineRule="auto"/>
        <w:ind w:left="708"/>
        <w:jc w:val="both"/>
        <w:rPr>
          <w:rFonts w:ascii="Arial" w:eastAsiaTheme="minorEastAsia" w:hAnsi="Arial" w:cs="Arial"/>
          <w:sz w:val="24"/>
          <w:szCs w:val="24"/>
        </w:rPr>
      </w:pPr>
    </w:p>
    <w:p w14:paraId="312BC0C0" w14:textId="03282B8C" w:rsidR="002A1F05" w:rsidRPr="00315EF2" w:rsidRDefault="002A1F05" w:rsidP="00307D84">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Por otra parte,</w:t>
      </w:r>
      <w:r w:rsidR="008476B3" w:rsidRPr="0084402E">
        <w:rPr>
          <w:rFonts w:ascii="Arial" w:eastAsiaTheme="minorEastAsia" w:hAnsi="Arial" w:cs="Arial"/>
          <w:sz w:val="24"/>
          <w:szCs w:val="24"/>
        </w:rPr>
        <w:t xml:space="preserve"> se considera que</w:t>
      </w:r>
      <w:r w:rsidRPr="0084402E">
        <w:rPr>
          <w:rFonts w:ascii="Arial" w:eastAsiaTheme="minorEastAsia" w:hAnsi="Arial" w:cs="Arial"/>
          <w:sz w:val="24"/>
          <w:szCs w:val="24"/>
        </w:rPr>
        <w:t xml:space="preserve"> los indicadores de actividad establecidos en el Sistema de Formato </w:t>
      </w:r>
      <w:r w:rsidR="008476B3" w:rsidRPr="0084402E">
        <w:rPr>
          <w:rFonts w:ascii="Arial" w:eastAsiaTheme="minorEastAsia" w:hAnsi="Arial" w:cs="Arial"/>
          <w:sz w:val="24"/>
          <w:szCs w:val="24"/>
        </w:rPr>
        <w:t xml:space="preserve">Único y que, al igual que los indicadores de Fin, Propósito, Componentes son los definidos de manera coordinada en los términos del lineamiento décimo cuarto de los </w:t>
      </w:r>
      <w:r w:rsidR="00307D84" w:rsidRPr="0084402E">
        <w:rPr>
          <w:rFonts w:ascii="Arial" w:eastAsiaTheme="minorEastAsia" w:hAnsi="Arial" w:cs="Arial"/>
          <w:sz w:val="24"/>
          <w:szCs w:val="24"/>
        </w:rPr>
        <w:t>“</w:t>
      </w:r>
      <w:r w:rsidR="008476B3" w:rsidRPr="0084402E">
        <w:rPr>
          <w:rFonts w:ascii="Arial" w:eastAsiaTheme="minorEastAsia" w:hAnsi="Arial" w:cs="Arial"/>
          <w:sz w:val="24"/>
          <w:szCs w:val="24"/>
        </w:rPr>
        <w:t>Lineamientos para informar sobre los recursos federales transferidos a las entidades federativas, municipios y demarcaciones territoriales del Distrito Federal, y de operación del Ramo General 33</w:t>
      </w:r>
      <w:r w:rsidR="00307D84" w:rsidRPr="0084402E">
        <w:rPr>
          <w:rFonts w:ascii="Arial" w:eastAsiaTheme="minorEastAsia" w:hAnsi="Arial" w:cs="Arial"/>
          <w:sz w:val="24"/>
          <w:szCs w:val="24"/>
        </w:rPr>
        <w:t>”</w:t>
      </w:r>
      <w:r w:rsidR="008476B3" w:rsidRPr="0084402E">
        <w:rPr>
          <w:rFonts w:ascii="Arial" w:eastAsiaTheme="minorEastAsia" w:hAnsi="Arial" w:cs="Arial"/>
          <w:sz w:val="24"/>
          <w:szCs w:val="24"/>
        </w:rPr>
        <w:t xml:space="preserve">, </w:t>
      </w:r>
      <w:r w:rsidR="008476B3" w:rsidRPr="00315EF2">
        <w:rPr>
          <w:rFonts w:ascii="Arial" w:eastAsiaTheme="minorEastAsia" w:hAnsi="Arial" w:cs="Arial"/>
          <w:sz w:val="24"/>
          <w:szCs w:val="24"/>
        </w:rPr>
        <w:t xml:space="preserve">no son indicadores adecuados y relevantes para medir y evaluar el desempeño de la gestión y operación de los servicios educativos por parte de la dependencia ejecutora a nivel estatal. </w:t>
      </w:r>
    </w:p>
    <w:p w14:paraId="768E43A3" w14:textId="77777777" w:rsidR="008476B3" w:rsidRPr="00315EF2" w:rsidRDefault="008476B3" w:rsidP="00015271">
      <w:pPr>
        <w:spacing w:after="0" w:line="360" w:lineRule="auto"/>
        <w:ind w:left="708"/>
        <w:jc w:val="both"/>
        <w:rPr>
          <w:rFonts w:ascii="Arial" w:eastAsiaTheme="minorEastAsia" w:hAnsi="Arial" w:cs="Arial"/>
          <w:sz w:val="24"/>
          <w:szCs w:val="24"/>
        </w:rPr>
      </w:pPr>
    </w:p>
    <w:p w14:paraId="4AC5C5C4" w14:textId="20BD07AC" w:rsidR="008476B3" w:rsidRPr="0084402E" w:rsidRDefault="008476B3" w:rsidP="00307D84">
      <w:pPr>
        <w:spacing w:after="0" w:line="360" w:lineRule="auto"/>
        <w:jc w:val="both"/>
        <w:rPr>
          <w:rFonts w:ascii="Arial" w:eastAsiaTheme="minorEastAsia" w:hAnsi="Arial" w:cs="Arial"/>
          <w:sz w:val="24"/>
          <w:szCs w:val="24"/>
        </w:rPr>
      </w:pPr>
      <w:r w:rsidRPr="00315EF2">
        <w:rPr>
          <w:rFonts w:ascii="Arial" w:eastAsiaTheme="minorEastAsia" w:hAnsi="Arial" w:cs="Arial"/>
          <w:sz w:val="24"/>
          <w:szCs w:val="24"/>
        </w:rPr>
        <w:t>En este sentido, se esperaría que la MIR estatal contemplara indicadores para los aspectos de la gestión y operación de la entrega de los servicios de educación para adultos, pues estos indicadores de actividad definidos a nivel nacional no reflejan estos aspectos. Sin embargo</w:t>
      </w:r>
      <w:r w:rsidR="00F27E45" w:rsidRPr="00315EF2">
        <w:rPr>
          <w:rFonts w:ascii="Arial" w:eastAsiaTheme="minorEastAsia" w:hAnsi="Arial" w:cs="Arial"/>
          <w:sz w:val="24"/>
          <w:szCs w:val="24"/>
        </w:rPr>
        <w:t>,</w:t>
      </w:r>
      <w:r w:rsidRPr="00315EF2">
        <w:rPr>
          <w:rFonts w:ascii="Arial" w:eastAsiaTheme="minorEastAsia" w:hAnsi="Arial" w:cs="Arial"/>
          <w:sz w:val="24"/>
          <w:szCs w:val="24"/>
        </w:rPr>
        <w:t xml:space="preserve"> la MIR estatal no incluye indica</w:t>
      </w:r>
      <w:r w:rsidR="00307D84" w:rsidRPr="00315EF2">
        <w:rPr>
          <w:rFonts w:ascii="Arial" w:eastAsiaTheme="minorEastAsia" w:hAnsi="Arial" w:cs="Arial"/>
          <w:sz w:val="24"/>
          <w:szCs w:val="24"/>
        </w:rPr>
        <w:t xml:space="preserve">dores de actividad. </w:t>
      </w:r>
      <w:r w:rsidR="0029651C" w:rsidRPr="00315EF2">
        <w:rPr>
          <w:rFonts w:ascii="Arial" w:eastAsiaTheme="minorEastAsia" w:hAnsi="Arial" w:cs="Arial"/>
          <w:sz w:val="24"/>
          <w:szCs w:val="24"/>
        </w:rPr>
        <w:t>No</w:t>
      </w:r>
      <w:r w:rsidR="0029651C" w:rsidRPr="0084402E">
        <w:rPr>
          <w:rFonts w:ascii="Arial" w:eastAsiaTheme="minorEastAsia" w:hAnsi="Arial" w:cs="Arial"/>
          <w:sz w:val="24"/>
          <w:szCs w:val="24"/>
        </w:rPr>
        <w:t xml:space="preserve"> obstante</w:t>
      </w:r>
      <w:r w:rsidR="00627A0E" w:rsidRPr="0084402E">
        <w:rPr>
          <w:rFonts w:ascii="Arial" w:eastAsiaTheme="minorEastAsia" w:hAnsi="Arial" w:cs="Arial"/>
          <w:sz w:val="24"/>
          <w:szCs w:val="24"/>
        </w:rPr>
        <w:t xml:space="preserve"> se debe considerar que el dar </w:t>
      </w:r>
      <w:r w:rsidR="00F27E45" w:rsidRPr="0084402E">
        <w:rPr>
          <w:rFonts w:ascii="Arial" w:eastAsiaTheme="minorEastAsia" w:hAnsi="Arial" w:cs="Arial"/>
          <w:sz w:val="24"/>
          <w:szCs w:val="24"/>
        </w:rPr>
        <w:t>seguimiento a estos indicadores</w:t>
      </w:r>
      <w:r w:rsidR="00627A0E" w:rsidRPr="0084402E">
        <w:rPr>
          <w:rFonts w:ascii="Arial" w:eastAsiaTheme="minorEastAsia" w:hAnsi="Arial" w:cs="Arial"/>
          <w:sz w:val="24"/>
          <w:szCs w:val="24"/>
        </w:rPr>
        <w:t xml:space="preserve"> es una obligación establecida en la normatividad del Fondo, por lo que se recomienda que en las instancias </w:t>
      </w:r>
      <w:r w:rsidR="00612330" w:rsidRPr="0084402E">
        <w:rPr>
          <w:rFonts w:ascii="Arial" w:eastAsiaTheme="minorEastAsia" w:hAnsi="Arial" w:cs="Arial"/>
          <w:sz w:val="24"/>
          <w:szCs w:val="24"/>
        </w:rPr>
        <w:t xml:space="preserve">o foros </w:t>
      </w:r>
      <w:r w:rsidR="00627A0E" w:rsidRPr="0084402E">
        <w:rPr>
          <w:rFonts w:ascii="Arial" w:eastAsiaTheme="minorEastAsia" w:hAnsi="Arial" w:cs="Arial"/>
          <w:sz w:val="24"/>
          <w:szCs w:val="24"/>
        </w:rPr>
        <w:t xml:space="preserve">de </w:t>
      </w:r>
      <w:r w:rsidR="00627A0E" w:rsidRPr="0084402E">
        <w:rPr>
          <w:rFonts w:ascii="Arial" w:eastAsiaTheme="minorEastAsia" w:hAnsi="Arial" w:cs="Arial"/>
          <w:sz w:val="24"/>
          <w:szCs w:val="24"/>
        </w:rPr>
        <w:lastRenderedPageBreak/>
        <w:t>coordinación pertinente</w:t>
      </w:r>
      <w:r w:rsidR="00612330" w:rsidRPr="0084402E">
        <w:rPr>
          <w:rFonts w:ascii="Arial" w:eastAsiaTheme="minorEastAsia" w:hAnsi="Arial" w:cs="Arial"/>
          <w:sz w:val="24"/>
          <w:szCs w:val="24"/>
        </w:rPr>
        <w:t>s</w:t>
      </w:r>
      <w:r w:rsidR="00627A0E" w:rsidRPr="0084402E">
        <w:rPr>
          <w:rFonts w:ascii="Arial" w:eastAsiaTheme="minorEastAsia" w:hAnsi="Arial" w:cs="Arial"/>
          <w:sz w:val="24"/>
          <w:szCs w:val="24"/>
        </w:rPr>
        <w:t xml:space="preserve"> con la Dependencia Coordinadora del Fondo, la SEP/INEA, y el resto de las entidades federativas, se plantee y se discuta la utilidad y la relevancia de estos indicadores y, en su caso, se diseñen indicadores de mayor utilidad. </w:t>
      </w:r>
    </w:p>
    <w:p w14:paraId="2040CC4B" w14:textId="77777777" w:rsidR="0097371C" w:rsidRPr="0084402E" w:rsidRDefault="0097371C" w:rsidP="0097371C">
      <w:pPr>
        <w:spacing w:after="0" w:line="360" w:lineRule="auto"/>
        <w:ind w:left="284"/>
        <w:jc w:val="both"/>
        <w:rPr>
          <w:rFonts w:ascii="Arial" w:eastAsiaTheme="minorEastAsia" w:hAnsi="Arial" w:cs="Arial"/>
          <w:sz w:val="24"/>
          <w:szCs w:val="24"/>
        </w:rPr>
      </w:pPr>
    </w:p>
    <w:p w14:paraId="5F52B73B" w14:textId="23B68140" w:rsidR="001753DE" w:rsidRPr="0084402E" w:rsidRDefault="00307D84" w:rsidP="00307D84">
      <w:pPr>
        <w:spacing w:after="0" w:line="240" w:lineRule="auto"/>
        <w:rPr>
          <w:rFonts w:ascii="Arial" w:eastAsiaTheme="minorEastAsia" w:hAnsi="Arial" w:cs="Arial"/>
          <w:sz w:val="24"/>
          <w:szCs w:val="24"/>
        </w:rPr>
      </w:pPr>
      <w:r w:rsidRPr="0084402E">
        <w:rPr>
          <w:rFonts w:ascii="Arial" w:eastAsiaTheme="minorEastAsia" w:hAnsi="Arial" w:cs="Arial"/>
          <w:sz w:val="24"/>
          <w:szCs w:val="24"/>
        </w:rPr>
        <w:br w:type="page"/>
      </w:r>
    </w:p>
    <w:p w14:paraId="034C2BFA" w14:textId="77777777" w:rsidR="00C671F3" w:rsidRPr="0084402E" w:rsidRDefault="00A61E93" w:rsidP="0097371C">
      <w:pPr>
        <w:spacing w:after="0" w:line="360" w:lineRule="auto"/>
        <w:ind w:left="284"/>
        <w:jc w:val="both"/>
        <w:rPr>
          <w:rFonts w:ascii="Arial" w:eastAsiaTheme="minorEastAsia" w:hAnsi="Arial" w:cs="Arial"/>
          <w:sz w:val="24"/>
          <w:szCs w:val="24"/>
        </w:rPr>
      </w:pPr>
      <w:r w:rsidRPr="0084402E">
        <w:rPr>
          <w:rFonts w:ascii="Arial" w:eastAsiaTheme="minorEastAsia" w:hAnsi="Arial" w:cs="Arial"/>
          <w:b/>
          <w:bCs/>
          <w:sz w:val="24"/>
          <w:szCs w:val="24"/>
        </w:rPr>
        <w:lastRenderedPageBreak/>
        <w:t xml:space="preserve">10. </w:t>
      </w:r>
      <w:r w:rsidR="00C671F3" w:rsidRPr="0084402E">
        <w:rPr>
          <w:rFonts w:ascii="Arial" w:eastAsiaTheme="minorEastAsia" w:hAnsi="Arial" w:cs="Arial"/>
          <w:b/>
          <w:bCs/>
          <w:sz w:val="24"/>
          <w:szCs w:val="24"/>
        </w:rPr>
        <w:t>Cumplimiento a la Matriz de Indicadores para Resultados</w:t>
      </w:r>
    </w:p>
    <w:p w14:paraId="56735646" w14:textId="77777777" w:rsidR="002D4695" w:rsidRPr="0084402E" w:rsidRDefault="002D4695" w:rsidP="002D4695">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RESPUESTA:</w:t>
      </w:r>
    </w:p>
    <w:p w14:paraId="21C19F29" w14:textId="77777777" w:rsidR="00C671F3" w:rsidRPr="0084402E" w:rsidRDefault="00277D82" w:rsidP="004C0514">
      <w:pPr>
        <w:spacing w:after="100" w:afterAutospacing="1" w:line="360" w:lineRule="auto"/>
        <w:jc w:val="both"/>
        <w:rPr>
          <w:rFonts w:ascii="Arial" w:eastAsiaTheme="minorEastAsia" w:hAnsi="Arial" w:cs="Arial"/>
          <w:sz w:val="24"/>
          <w:szCs w:val="24"/>
        </w:rPr>
      </w:pPr>
      <w:r w:rsidRPr="0084402E">
        <w:rPr>
          <w:noProof/>
          <w:sz w:val="24"/>
          <w:szCs w:val="24"/>
          <w:lang w:val="es-ES_tradnl" w:eastAsia="es-ES_tradnl"/>
        </w:rPr>
        <w:drawing>
          <wp:inline distT="0" distB="0" distL="0" distR="0" wp14:anchorId="1F99070C" wp14:editId="4CB00A89">
            <wp:extent cx="6260465" cy="3655041"/>
            <wp:effectExtent l="19050" t="0" r="6985"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260465" cy="3655041"/>
                    </a:xfrm>
                    <a:prstGeom prst="rect">
                      <a:avLst/>
                    </a:prstGeom>
                    <a:noFill/>
                    <a:ln w="9525">
                      <a:noFill/>
                      <a:miter lim="800000"/>
                      <a:headEnd/>
                      <a:tailEnd/>
                    </a:ln>
                  </pic:spPr>
                </pic:pic>
              </a:graphicData>
            </a:graphic>
          </wp:inline>
        </w:drawing>
      </w:r>
    </w:p>
    <w:p w14:paraId="51A8054B" w14:textId="2C9EF753" w:rsidR="005F4771" w:rsidRDefault="005F4771" w:rsidP="004E4D8A">
      <w:pPr>
        <w:spacing w:after="0" w:line="360" w:lineRule="auto"/>
        <w:jc w:val="both"/>
        <w:rPr>
          <w:rFonts w:ascii="Arial" w:eastAsia="Times New Roman" w:hAnsi="Arial" w:cs="Arial"/>
          <w:b/>
          <w:color w:val="000000"/>
          <w:sz w:val="20"/>
          <w:szCs w:val="24"/>
          <w:lang w:eastAsia="es-MX"/>
        </w:rPr>
      </w:pPr>
      <w:bookmarkStart w:id="4" w:name="_Toc417305155"/>
      <w:bookmarkStart w:id="5" w:name="_Toc417393246"/>
      <w:r w:rsidRPr="005F4771">
        <w:rPr>
          <w:rFonts w:ascii="Arial" w:eastAsia="Times New Roman" w:hAnsi="Arial" w:cs="Arial"/>
          <w:b/>
          <w:color w:val="000000"/>
          <w:sz w:val="20"/>
          <w:szCs w:val="24"/>
          <w:lang w:eastAsia="es-MX"/>
        </w:rPr>
        <w:t xml:space="preserve">Fuente: INDETEC </w:t>
      </w:r>
    </w:p>
    <w:p w14:paraId="6AF3F8DC" w14:textId="77777777" w:rsidR="005F4771" w:rsidRDefault="005F4771" w:rsidP="004E4D8A">
      <w:pPr>
        <w:spacing w:after="0" w:line="360" w:lineRule="auto"/>
        <w:jc w:val="both"/>
        <w:rPr>
          <w:rFonts w:ascii="Arial" w:eastAsiaTheme="majorEastAsia" w:hAnsi="Arial" w:cs="Arial"/>
          <w:bCs/>
          <w:iCs/>
          <w:sz w:val="24"/>
          <w:szCs w:val="24"/>
        </w:rPr>
      </w:pPr>
    </w:p>
    <w:p w14:paraId="1C03B8AB" w14:textId="7F376993" w:rsidR="00490B6A" w:rsidRDefault="00922D73" w:rsidP="004E4D8A">
      <w:pPr>
        <w:spacing w:after="0" w:line="360" w:lineRule="auto"/>
        <w:jc w:val="both"/>
        <w:rPr>
          <w:rFonts w:ascii="Arial" w:eastAsiaTheme="majorEastAsia" w:hAnsi="Arial" w:cs="Arial"/>
          <w:bCs/>
          <w:iCs/>
          <w:sz w:val="24"/>
          <w:szCs w:val="24"/>
        </w:rPr>
      </w:pPr>
      <w:r w:rsidRPr="0084402E">
        <w:rPr>
          <w:rFonts w:ascii="Arial" w:eastAsiaTheme="majorEastAsia" w:hAnsi="Arial" w:cs="Arial"/>
          <w:bCs/>
          <w:iCs/>
          <w:sz w:val="24"/>
          <w:szCs w:val="24"/>
        </w:rPr>
        <w:t xml:space="preserve">La MIR estatal del </w:t>
      </w:r>
      <w:r w:rsidR="007E6AFA" w:rsidRPr="0084402E">
        <w:rPr>
          <w:rFonts w:ascii="Arial" w:eastAsiaTheme="majorEastAsia" w:hAnsi="Arial" w:cs="Arial"/>
          <w:bCs/>
          <w:iCs/>
          <w:sz w:val="24"/>
          <w:szCs w:val="24"/>
        </w:rPr>
        <w:t xml:space="preserve">programa presupuestario Rezago Educativo a través del cual se prestan los servicios de educación para adultos </w:t>
      </w:r>
      <w:r w:rsidR="00D4497E" w:rsidRPr="0084402E">
        <w:rPr>
          <w:rFonts w:ascii="Arial" w:eastAsiaTheme="majorEastAsia" w:hAnsi="Arial" w:cs="Arial"/>
          <w:bCs/>
          <w:iCs/>
          <w:sz w:val="24"/>
          <w:szCs w:val="24"/>
        </w:rPr>
        <w:t>en el estado</w:t>
      </w:r>
      <w:r w:rsidR="00F27E45" w:rsidRPr="0084402E">
        <w:rPr>
          <w:rFonts w:ascii="Arial" w:eastAsiaTheme="majorEastAsia" w:hAnsi="Arial" w:cs="Arial"/>
          <w:bCs/>
          <w:iCs/>
          <w:sz w:val="24"/>
          <w:szCs w:val="24"/>
        </w:rPr>
        <w:t>,</w:t>
      </w:r>
      <w:r w:rsidR="00D4497E" w:rsidRPr="0084402E">
        <w:rPr>
          <w:rFonts w:ascii="Arial" w:eastAsiaTheme="majorEastAsia" w:hAnsi="Arial" w:cs="Arial"/>
          <w:bCs/>
          <w:iCs/>
          <w:sz w:val="24"/>
          <w:szCs w:val="24"/>
        </w:rPr>
        <w:t xml:space="preserve"> </w:t>
      </w:r>
      <w:r w:rsidR="007E6AFA" w:rsidRPr="0084402E">
        <w:rPr>
          <w:rFonts w:ascii="Arial" w:eastAsiaTheme="majorEastAsia" w:hAnsi="Arial" w:cs="Arial"/>
          <w:bCs/>
          <w:iCs/>
          <w:sz w:val="24"/>
          <w:szCs w:val="24"/>
        </w:rPr>
        <w:t>tiene indicadores en el nivel de Propósito y C</w:t>
      </w:r>
      <w:r w:rsidR="00970708" w:rsidRPr="0084402E">
        <w:rPr>
          <w:rFonts w:ascii="Arial" w:eastAsiaTheme="majorEastAsia" w:hAnsi="Arial" w:cs="Arial"/>
          <w:bCs/>
          <w:iCs/>
          <w:sz w:val="24"/>
          <w:szCs w:val="24"/>
        </w:rPr>
        <w:t>omponente</w:t>
      </w:r>
      <w:r w:rsidR="00970708" w:rsidRPr="00315EF2">
        <w:rPr>
          <w:rFonts w:ascii="Arial" w:eastAsiaTheme="majorEastAsia" w:hAnsi="Arial" w:cs="Arial"/>
          <w:bCs/>
          <w:iCs/>
          <w:sz w:val="24"/>
          <w:szCs w:val="24"/>
        </w:rPr>
        <w:t xml:space="preserve">. </w:t>
      </w:r>
      <w:r w:rsidR="008F1673" w:rsidRPr="00315EF2">
        <w:rPr>
          <w:rFonts w:ascii="Arial" w:eastAsiaTheme="majorEastAsia" w:hAnsi="Arial" w:cs="Arial"/>
          <w:bCs/>
          <w:iCs/>
          <w:sz w:val="24"/>
          <w:szCs w:val="24"/>
        </w:rPr>
        <w:t>El indicador de Propósito mide el porcentaje de población en rezago educativo, sin embargo</w:t>
      </w:r>
      <w:r w:rsidR="005A114C" w:rsidRPr="00315EF2">
        <w:rPr>
          <w:rFonts w:ascii="Arial" w:eastAsiaTheme="majorEastAsia" w:hAnsi="Arial" w:cs="Arial"/>
          <w:bCs/>
          <w:iCs/>
          <w:sz w:val="24"/>
          <w:szCs w:val="24"/>
        </w:rPr>
        <w:t xml:space="preserve">, en </w:t>
      </w:r>
      <w:r w:rsidR="00374B0F" w:rsidRPr="00315EF2">
        <w:rPr>
          <w:rFonts w:ascii="Arial" w:eastAsiaTheme="majorEastAsia" w:hAnsi="Arial" w:cs="Arial"/>
          <w:bCs/>
          <w:iCs/>
          <w:sz w:val="24"/>
          <w:szCs w:val="24"/>
        </w:rPr>
        <w:t xml:space="preserve">la </w:t>
      </w:r>
      <w:r w:rsidR="005A114C" w:rsidRPr="00315EF2">
        <w:rPr>
          <w:rFonts w:ascii="Arial" w:eastAsiaTheme="majorEastAsia" w:hAnsi="Arial" w:cs="Arial"/>
          <w:bCs/>
          <w:iCs/>
          <w:sz w:val="24"/>
          <w:szCs w:val="24"/>
        </w:rPr>
        <w:t xml:space="preserve">columna del método de cálculo, </w:t>
      </w:r>
      <w:r w:rsidR="008F1673" w:rsidRPr="00315EF2">
        <w:rPr>
          <w:rFonts w:ascii="Arial" w:eastAsiaTheme="majorEastAsia" w:hAnsi="Arial" w:cs="Arial"/>
          <w:bCs/>
          <w:iCs/>
          <w:sz w:val="24"/>
          <w:szCs w:val="24"/>
        </w:rPr>
        <w:t>no están explícitas las variables</w:t>
      </w:r>
      <w:r w:rsidR="005A114C" w:rsidRPr="00315EF2">
        <w:rPr>
          <w:rFonts w:ascii="Arial" w:eastAsiaTheme="majorEastAsia" w:hAnsi="Arial" w:cs="Arial"/>
          <w:bCs/>
          <w:iCs/>
          <w:sz w:val="24"/>
          <w:szCs w:val="24"/>
        </w:rPr>
        <w:t xml:space="preserve"> (para éste ni para ningún indicador)</w:t>
      </w:r>
      <w:r w:rsidR="008F1673" w:rsidRPr="00315EF2">
        <w:rPr>
          <w:rFonts w:ascii="Arial" w:eastAsiaTheme="majorEastAsia" w:hAnsi="Arial" w:cs="Arial"/>
          <w:bCs/>
          <w:iCs/>
          <w:sz w:val="24"/>
          <w:szCs w:val="24"/>
        </w:rPr>
        <w:t xml:space="preserve"> por lo que no es posible conocer contra qué población se está comparando. </w:t>
      </w:r>
      <w:r w:rsidR="00570F4F" w:rsidRPr="00315EF2">
        <w:rPr>
          <w:rFonts w:ascii="Arial" w:eastAsiaTheme="majorEastAsia" w:hAnsi="Arial" w:cs="Arial"/>
          <w:bCs/>
          <w:iCs/>
          <w:sz w:val="24"/>
          <w:szCs w:val="24"/>
        </w:rPr>
        <w:t>Tampoco</w:t>
      </w:r>
      <w:r w:rsidR="00570F4F" w:rsidRPr="0084402E">
        <w:rPr>
          <w:rFonts w:ascii="Arial" w:eastAsiaTheme="majorEastAsia" w:hAnsi="Arial" w:cs="Arial"/>
          <w:bCs/>
          <w:iCs/>
          <w:sz w:val="24"/>
          <w:szCs w:val="24"/>
        </w:rPr>
        <w:t xml:space="preserve"> es claro con base en qué se </w:t>
      </w:r>
      <w:r w:rsidR="00374B0F" w:rsidRPr="0084402E">
        <w:rPr>
          <w:rFonts w:ascii="Arial" w:eastAsiaTheme="majorEastAsia" w:hAnsi="Arial" w:cs="Arial"/>
          <w:bCs/>
          <w:iCs/>
          <w:sz w:val="24"/>
          <w:szCs w:val="24"/>
        </w:rPr>
        <w:t>fija</w:t>
      </w:r>
      <w:r w:rsidR="00570F4F" w:rsidRPr="0084402E">
        <w:rPr>
          <w:rFonts w:ascii="Arial" w:eastAsiaTheme="majorEastAsia" w:hAnsi="Arial" w:cs="Arial"/>
          <w:bCs/>
          <w:iCs/>
          <w:sz w:val="24"/>
          <w:szCs w:val="24"/>
        </w:rPr>
        <w:t xml:space="preserve"> la meta, ya que no se puede establecer la congruencia con lo est</w:t>
      </w:r>
      <w:r w:rsidR="00374B0F" w:rsidRPr="0084402E">
        <w:rPr>
          <w:rFonts w:ascii="Arial" w:eastAsiaTheme="majorEastAsia" w:hAnsi="Arial" w:cs="Arial"/>
          <w:bCs/>
          <w:iCs/>
          <w:sz w:val="24"/>
          <w:szCs w:val="24"/>
        </w:rPr>
        <w:t>ipulado</w:t>
      </w:r>
      <w:r w:rsidR="00570F4F" w:rsidRPr="0084402E">
        <w:rPr>
          <w:rFonts w:ascii="Arial" w:eastAsiaTheme="majorEastAsia" w:hAnsi="Arial" w:cs="Arial"/>
          <w:bCs/>
          <w:iCs/>
          <w:sz w:val="24"/>
          <w:szCs w:val="24"/>
        </w:rPr>
        <w:t xml:space="preserve"> en el POA de la actividad programática correspondiente, que determina que de la población objetivo (que es el 5% de la población total en rezago) la meta es que 10,400 personas atendidas co</w:t>
      </w:r>
      <w:r w:rsidR="00374B0F" w:rsidRPr="0084402E">
        <w:rPr>
          <w:rFonts w:ascii="Arial" w:eastAsiaTheme="majorEastAsia" w:hAnsi="Arial" w:cs="Arial"/>
          <w:bCs/>
          <w:iCs/>
          <w:sz w:val="24"/>
          <w:szCs w:val="24"/>
        </w:rPr>
        <w:t xml:space="preserve">ncluyan algún nivel educativo. </w:t>
      </w:r>
      <w:r w:rsidR="00570F4F" w:rsidRPr="0084402E">
        <w:rPr>
          <w:rFonts w:ascii="Arial" w:eastAsiaTheme="majorEastAsia" w:hAnsi="Arial" w:cs="Arial"/>
          <w:bCs/>
          <w:iCs/>
          <w:sz w:val="24"/>
          <w:szCs w:val="24"/>
        </w:rPr>
        <w:t xml:space="preserve">Tampoco es posible establecer la congruencia </w:t>
      </w:r>
      <w:r w:rsidR="00F27E45" w:rsidRPr="0084402E">
        <w:rPr>
          <w:rFonts w:ascii="Arial" w:eastAsiaTheme="majorEastAsia" w:hAnsi="Arial" w:cs="Arial"/>
          <w:bCs/>
          <w:iCs/>
          <w:sz w:val="24"/>
          <w:szCs w:val="24"/>
        </w:rPr>
        <w:t>de e</w:t>
      </w:r>
      <w:r w:rsidR="00490B6A" w:rsidRPr="0084402E">
        <w:rPr>
          <w:rFonts w:ascii="Arial" w:eastAsiaTheme="majorEastAsia" w:hAnsi="Arial" w:cs="Arial"/>
          <w:bCs/>
          <w:iCs/>
          <w:sz w:val="24"/>
          <w:szCs w:val="24"/>
        </w:rPr>
        <w:t xml:space="preserve">ste indicador </w:t>
      </w:r>
      <w:r w:rsidR="00570F4F" w:rsidRPr="0084402E">
        <w:rPr>
          <w:rFonts w:ascii="Arial" w:eastAsiaTheme="majorEastAsia" w:hAnsi="Arial" w:cs="Arial"/>
          <w:bCs/>
          <w:iCs/>
          <w:sz w:val="24"/>
          <w:szCs w:val="24"/>
        </w:rPr>
        <w:t xml:space="preserve">con los indicadores de Fin y de Propósito que se deben reportar a través del Sistema de Formato </w:t>
      </w:r>
      <w:r w:rsidR="00570F4F" w:rsidRPr="0084402E">
        <w:rPr>
          <w:rFonts w:ascii="Arial" w:eastAsiaTheme="majorEastAsia" w:hAnsi="Arial" w:cs="Arial"/>
          <w:bCs/>
          <w:iCs/>
          <w:sz w:val="24"/>
          <w:szCs w:val="24"/>
        </w:rPr>
        <w:lastRenderedPageBreak/>
        <w:t>Único</w:t>
      </w:r>
      <w:r w:rsidR="003B0B8B" w:rsidRPr="0084402E">
        <w:rPr>
          <w:rFonts w:ascii="Arial" w:eastAsiaTheme="majorEastAsia" w:hAnsi="Arial" w:cs="Arial"/>
          <w:bCs/>
          <w:iCs/>
          <w:sz w:val="24"/>
          <w:szCs w:val="24"/>
        </w:rPr>
        <w:t>.</w:t>
      </w:r>
      <w:r w:rsidR="00970708" w:rsidRPr="0084402E">
        <w:rPr>
          <w:rFonts w:ascii="Arial" w:eastAsiaTheme="majorEastAsia" w:hAnsi="Arial" w:cs="Arial"/>
          <w:bCs/>
          <w:iCs/>
          <w:sz w:val="24"/>
          <w:szCs w:val="24"/>
        </w:rPr>
        <w:t xml:space="preserve"> </w:t>
      </w:r>
      <w:r w:rsidR="003B0B8B" w:rsidRPr="0084402E">
        <w:rPr>
          <w:rFonts w:ascii="Arial" w:eastAsiaTheme="majorEastAsia" w:hAnsi="Arial" w:cs="Arial"/>
          <w:bCs/>
          <w:iCs/>
          <w:sz w:val="24"/>
          <w:szCs w:val="24"/>
        </w:rPr>
        <w:t>D</w:t>
      </w:r>
      <w:r w:rsidR="00970708" w:rsidRPr="0084402E">
        <w:rPr>
          <w:rFonts w:ascii="Arial" w:eastAsiaTheme="majorEastAsia" w:hAnsi="Arial" w:cs="Arial"/>
          <w:bCs/>
          <w:iCs/>
          <w:sz w:val="24"/>
          <w:szCs w:val="24"/>
        </w:rPr>
        <w:t>e hecho pareciera</w:t>
      </w:r>
      <w:r w:rsidR="003B0B8B" w:rsidRPr="0084402E">
        <w:rPr>
          <w:rFonts w:ascii="Arial" w:eastAsiaTheme="majorEastAsia" w:hAnsi="Arial" w:cs="Arial"/>
          <w:bCs/>
          <w:iCs/>
          <w:sz w:val="24"/>
          <w:szCs w:val="24"/>
        </w:rPr>
        <w:t xml:space="preserve"> que hay una relación con el indicador de Fin del SFU, pues </w:t>
      </w:r>
      <w:r w:rsidR="00712D3F" w:rsidRPr="0084402E">
        <w:rPr>
          <w:rFonts w:ascii="Arial" w:eastAsiaTheme="majorEastAsia" w:hAnsi="Arial" w:cs="Arial"/>
          <w:bCs/>
          <w:iCs/>
          <w:sz w:val="24"/>
          <w:szCs w:val="24"/>
        </w:rPr>
        <w:t>es posible inferir que comparten una variable, el rezago educativo, pero falta información en relación con qué se mide ese rezago, el sentido de la medición</w:t>
      </w:r>
      <w:r w:rsidR="009E49D6" w:rsidRPr="0084402E">
        <w:rPr>
          <w:rFonts w:ascii="Arial" w:eastAsiaTheme="majorEastAsia" w:hAnsi="Arial" w:cs="Arial"/>
          <w:bCs/>
          <w:iCs/>
          <w:sz w:val="24"/>
          <w:szCs w:val="24"/>
        </w:rPr>
        <w:t>, etc</w:t>
      </w:r>
      <w:r w:rsidR="00490B6A" w:rsidRPr="0084402E">
        <w:rPr>
          <w:rFonts w:ascii="Arial" w:eastAsiaTheme="majorEastAsia" w:hAnsi="Arial" w:cs="Arial"/>
          <w:bCs/>
          <w:iCs/>
          <w:sz w:val="24"/>
          <w:szCs w:val="24"/>
        </w:rPr>
        <w:t xml:space="preserve">. </w:t>
      </w:r>
    </w:p>
    <w:p w14:paraId="6982F81A" w14:textId="77777777" w:rsidR="005F4771" w:rsidRPr="0084402E" w:rsidRDefault="005F4771" w:rsidP="004E4D8A">
      <w:pPr>
        <w:spacing w:after="0" w:line="360" w:lineRule="auto"/>
        <w:jc w:val="both"/>
        <w:rPr>
          <w:rFonts w:ascii="Arial" w:eastAsiaTheme="majorEastAsia" w:hAnsi="Arial" w:cs="Arial"/>
          <w:bCs/>
          <w:iCs/>
          <w:sz w:val="24"/>
          <w:szCs w:val="24"/>
        </w:rPr>
      </w:pPr>
    </w:p>
    <w:p w14:paraId="55D04A9E" w14:textId="77777777" w:rsidR="00490B6A" w:rsidRPr="0084402E" w:rsidRDefault="00490B6A" w:rsidP="004E4D8A">
      <w:pPr>
        <w:spacing w:after="0" w:line="360" w:lineRule="auto"/>
        <w:jc w:val="both"/>
        <w:rPr>
          <w:rFonts w:ascii="Arial" w:eastAsiaTheme="majorEastAsia" w:hAnsi="Arial" w:cs="Arial"/>
          <w:bCs/>
          <w:iCs/>
          <w:sz w:val="24"/>
          <w:szCs w:val="24"/>
        </w:rPr>
      </w:pPr>
      <w:r w:rsidRPr="0084402E">
        <w:rPr>
          <w:rFonts w:ascii="Arial" w:eastAsiaTheme="majorEastAsia" w:hAnsi="Arial" w:cs="Arial"/>
          <w:bCs/>
          <w:iCs/>
          <w:sz w:val="24"/>
          <w:szCs w:val="24"/>
        </w:rPr>
        <w:t>Así, el indicador de Propósito “Porcentaje de población en rezago edu</w:t>
      </w:r>
      <w:r w:rsidR="005B1FA3" w:rsidRPr="0084402E">
        <w:rPr>
          <w:rFonts w:ascii="Arial" w:eastAsiaTheme="majorEastAsia" w:hAnsi="Arial" w:cs="Arial"/>
          <w:bCs/>
          <w:iCs/>
          <w:sz w:val="24"/>
          <w:szCs w:val="24"/>
        </w:rPr>
        <w:t>ca</w:t>
      </w:r>
      <w:r w:rsidRPr="0084402E">
        <w:rPr>
          <w:rFonts w:ascii="Arial" w:eastAsiaTheme="majorEastAsia" w:hAnsi="Arial" w:cs="Arial"/>
          <w:bCs/>
          <w:iCs/>
          <w:sz w:val="24"/>
          <w:szCs w:val="24"/>
        </w:rPr>
        <w:t xml:space="preserve">tivo” tiene una meta establecida de 9.00 por ciento y un logro alcanzado de 9.20, pero no se puede realizar un análisis del desempeño, dado que no se cuenta con la información completa para ello. </w:t>
      </w:r>
    </w:p>
    <w:p w14:paraId="32CB68B7" w14:textId="6A9AF41F" w:rsidR="009E49D6" w:rsidRPr="0084402E" w:rsidRDefault="00490B6A" w:rsidP="004E4D8A">
      <w:pPr>
        <w:spacing w:after="0" w:line="360" w:lineRule="auto"/>
        <w:jc w:val="both"/>
        <w:rPr>
          <w:rFonts w:ascii="Arial" w:eastAsiaTheme="majorEastAsia" w:hAnsi="Arial" w:cs="Arial"/>
          <w:bCs/>
          <w:iCs/>
          <w:sz w:val="24"/>
          <w:szCs w:val="24"/>
        </w:rPr>
      </w:pPr>
      <w:r w:rsidRPr="0084402E">
        <w:rPr>
          <w:rFonts w:ascii="Arial" w:eastAsiaTheme="majorEastAsia" w:hAnsi="Arial" w:cs="Arial"/>
          <w:bCs/>
          <w:iCs/>
          <w:sz w:val="24"/>
          <w:szCs w:val="24"/>
        </w:rPr>
        <w:br/>
        <w:t xml:space="preserve">El indicador del Componente 1 es “Porcentaje de personas con educación básica acreditadas por el IEAEY”. Nuevamente, las variables no están explícitas, sin embargo </w:t>
      </w:r>
      <w:r w:rsidR="00C76B6D" w:rsidRPr="0084402E">
        <w:rPr>
          <w:rFonts w:ascii="Arial" w:eastAsiaTheme="majorEastAsia" w:hAnsi="Arial" w:cs="Arial"/>
          <w:bCs/>
          <w:iCs/>
          <w:sz w:val="24"/>
          <w:szCs w:val="24"/>
        </w:rPr>
        <w:t xml:space="preserve">es posible inferir que </w:t>
      </w:r>
      <w:r w:rsidR="00970708" w:rsidRPr="0084402E">
        <w:rPr>
          <w:rFonts w:ascii="Arial" w:eastAsiaTheme="majorEastAsia" w:hAnsi="Arial" w:cs="Arial"/>
          <w:bCs/>
          <w:iCs/>
          <w:sz w:val="24"/>
          <w:szCs w:val="24"/>
        </w:rPr>
        <w:t>se refiere a las personas que reciben su certificado de educación básica</w:t>
      </w:r>
      <w:r w:rsidR="009E49D6" w:rsidRPr="0084402E">
        <w:rPr>
          <w:rFonts w:ascii="Arial" w:eastAsiaTheme="majorEastAsia" w:hAnsi="Arial" w:cs="Arial"/>
          <w:bCs/>
          <w:iCs/>
          <w:sz w:val="24"/>
          <w:szCs w:val="24"/>
        </w:rPr>
        <w:t xml:space="preserve"> y que ya habían cursado su educación sea en el IEAEY o no, pero no se tiene claro tampoco cuál es la variable </w:t>
      </w:r>
      <w:r w:rsidR="00374B0F" w:rsidRPr="0084402E">
        <w:rPr>
          <w:rFonts w:ascii="Arial" w:eastAsiaTheme="majorEastAsia" w:hAnsi="Arial" w:cs="Arial"/>
          <w:bCs/>
          <w:iCs/>
          <w:sz w:val="24"/>
          <w:szCs w:val="24"/>
        </w:rPr>
        <w:t>de comparación, en función de</w:t>
      </w:r>
      <w:r w:rsidR="009E49D6" w:rsidRPr="0084402E">
        <w:rPr>
          <w:rFonts w:ascii="Arial" w:eastAsiaTheme="majorEastAsia" w:hAnsi="Arial" w:cs="Arial"/>
          <w:bCs/>
          <w:iCs/>
          <w:sz w:val="24"/>
          <w:szCs w:val="24"/>
        </w:rPr>
        <w:t xml:space="preserve"> </w:t>
      </w:r>
      <w:r w:rsidR="00374B0F" w:rsidRPr="0084402E">
        <w:rPr>
          <w:rFonts w:ascii="Arial" w:eastAsiaTheme="majorEastAsia" w:hAnsi="Arial" w:cs="Arial"/>
          <w:bCs/>
          <w:iCs/>
          <w:sz w:val="24"/>
          <w:szCs w:val="24"/>
        </w:rPr>
        <w:t xml:space="preserve">con </w:t>
      </w:r>
      <w:r w:rsidR="00F27E45" w:rsidRPr="0084402E">
        <w:rPr>
          <w:rFonts w:ascii="Arial" w:eastAsiaTheme="majorEastAsia" w:hAnsi="Arial" w:cs="Arial"/>
          <w:bCs/>
          <w:iCs/>
          <w:sz w:val="24"/>
          <w:szCs w:val="24"/>
        </w:rPr>
        <w:t>cuá</w:t>
      </w:r>
      <w:r w:rsidR="009E49D6" w:rsidRPr="0084402E">
        <w:rPr>
          <w:rFonts w:ascii="Arial" w:eastAsiaTheme="majorEastAsia" w:hAnsi="Arial" w:cs="Arial"/>
          <w:bCs/>
          <w:iCs/>
          <w:sz w:val="24"/>
          <w:szCs w:val="24"/>
        </w:rPr>
        <w:t xml:space="preserve">l se establece la meta. No obstante se muestra una meta de 100% que se logra en su totalidad. </w:t>
      </w:r>
    </w:p>
    <w:p w14:paraId="407CFBBD" w14:textId="77777777" w:rsidR="00ED6FFE" w:rsidRPr="0084402E" w:rsidRDefault="00ED6FFE" w:rsidP="00ED6FFE">
      <w:pPr>
        <w:spacing w:after="0" w:line="360" w:lineRule="auto"/>
        <w:jc w:val="both"/>
        <w:rPr>
          <w:rFonts w:ascii="Arial" w:eastAsiaTheme="majorEastAsia" w:hAnsi="Arial" w:cs="Arial"/>
          <w:bCs/>
          <w:iCs/>
          <w:sz w:val="24"/>
          <w:szCs w:val="24"/>
        </w:rPr>
      </w:pPr>
    </w:p>
    <w:p w14:paraId="15D25189" w14:textId="00FE511F" w:rsidR="002D4695" w:rsidRPr="0084402E" w:rsidRDefault="00B527FA" w:rsidP="000327F9">
      <w:pPr>
        <w:spacing w:after="0" w:line="360" w:lineRule="auto"/>
        <w:jc w:val="both"/>
        <w:rPr>
          <w:rFonts w:ascii="Arial" w:eastAsiaTheme="majorEastAsia" w:hAnsi="Arial" w:cs="Arial"/>
          <w:bCs/>
          <w:iCs/>
          <w:sz w:val="24"/>
          <w:szCs w:val="24"/>
        </w:rPr>
      </w:pPr>
      <w:r w:rsidRPr="0084402E">
        <w:rPr>
          <w:rFonts w:ascii="Arial" w:eastAsiaTheme="majorEastAsia" w:hAnsi="Arial" w:cs="Arial"/>
          <w:bCs/>
          <w:iCs/>
          <w:sz w:val="24"/>
          <w:szCs w:val="24"/>
        </w:rPr>
        <w:t xml:space="preserve">Los indicadores de los Componentes </w:t>
      </w:r>
      <w:r w:rsidR="00954E85" w:rsidRPr="0084402E">
        <w:rPr>
          <w:rFonts w:ascii="Arial" w:eastAsiaTheme="majorEastAsia" w:hAnsi="Arial" w:cs="Arial"/>
          <w:bCs/>
          <w:iCs/>
          <w:sz w:val="24"/>
          <w:szCs w:val="24"/>
        </w:rPr>
        <w:t>2, 3 y 4, s</w:t>
      </w:r>
      <w:r w:rsidRPr="0084402E">
        <w:rPr>
          <w:rFonts w:ascii="Arial" w:eastAsiaTheme="majorEastAsia" w:hAnsi="Arial" w:cs="Arial"/>
          <w:bCs/>
          <w:iCs/>
          <w:sz w:val="24"/>
          <w:szCs w:val="24"/>
        </w:rPr>
        <w:t xml:space="preserve">on indicadores de eficacia de la cobertura, </w:t>
      </w:r>
      <w:r w:rsidR="00064CB4" w:rsidRPr="0084402E">
        <w:rPr>
          <w:rFonts w:ascii="Arial" w:eastAsiaTheme="majorEastAsia" w:hAnsi="Arial" w:cs="Arial"/>
          <w:bCs/>
          <w:iCs/>
          <w:sz w:val="24"/>
          <w:szCs w:val="24"/>
        </w:rPr>
        <w:t xml:space="preserve">que </w:t>
      </w:r>
      <w:r w:rsidR="00F3783C" w:rsidRPr="0084402E">
        <w:rPr>
          <w:rFonts w:ascii="Arial" w:eastAsiaTheme="majorEastAsia" w:hAnsi="Arial" w:cs="Arial"/>
          <w:bCs/>
          <w:iCs/>
          <w:sz w:val="24"/>
          <w:szCs w:val="24"/>
        </w:rPr>
        <w:t>miden</w:t>
      </w:r>
      <w:r w:rsidR="000327F9" w:rsidRPr="0084402E">
        <w:rPr>
          <w:rFonts w:ascii="Arial" w:eastAsiaTheme="majorEastAsia" w:hAnsi="Arial" w:cs="Arial"/>
          <w:bCs/>
          <w:iCs/>
          <w:sz w:val="24"/>
          <w:szCs w:val="24"/>
        </w:rPr>
        <w:t xml:space="preserve"> </w:t>
      </w:r>
      <w:r w:rsidR="00F3783C" w:rsidRPr="0084402E">
        <w:rPr>
          <w:rFonts w:ascii="Arial" w:eastAsiaTheme="majorEastAsia" w:hAnsi="Arial" w:cs="Arial"/>
          <w:bCs/>
          <w:iCs/>
          <w:sz w:val="24"/>
          <w:szCs w:val="24"/>
        </w:rPr>
        <w:t>el porcentaje de las personas atendidas del programa. Como en los indicadores anteriores, no están</w:t>
      </w:r>
      <w:r w:rsidR="0082026F" w:rsidRPr="0084402E">
        <w:rPr>
          <w:rFonts w:ascii="Arial" w:eastAsiaTheme="majorEastAsia" w:hAnsi="Arial" w:cs="Arial"/>
          <w:bCs/>
          <w:iCs/>
          <w:sz w:val="24"/>
          <w:szCs w:val="24"/>
        </w:rPr>
        <w:t xml:space="preserve"> </w:t>
      </w:r>
      <w:r w:rsidR="00F3783C" w:rsidRPr="0084402E">
        <w:rPr>
          <w:rFonts w:ascii="Arial" w:eastAsiaTheme="majorEastAsia" w:hAnsi="Arial" w:cs="Arial"/>
          <w:bCs/>
          <w:iCs/>
          <w:sz w:val="24"/>
          <w:szCs w:val="24"/>
        </w:rPr>
        <w:t xml:space="preserve">explícitas las variables, por lo que sería necesario precisar </w:t>
      </w:r>
      <w:r w:rsidR="0082026F" w:rsidRPr="0084402E">
        <w:rPr>
          <w:rFonts w:ascii="Arial" w:eastAsiaTheme="majorEastAsia" w:hAnsi="Arial" w:cs="Arial"/>
          <w:bCs/>
          <w:iCs/>
          <w:sz w:val="24"/>
          <w:szCs w:val="24"/>
        </w:rPr>
        <w:t xml:space="preserve">la población con </w:t>
      </w:r>
      <w:r w:rsidR="00564694" w:rsidRPr="0084402E">
        <w:rPr>
          <w:rFonts w:ascii="Arial" w:eastAsiaTheme="majorEastAsia" w:hAnsi="Arial" w:cs="Arial"/>
          <w:bCs/>
          <w:iCs/>
          <w:sz w:val="24"/>
          <w:szCs w:val="24"/>
        </w:rPr>
        <w:t xml:space="preserve">la que se compara, </w:t>
      </w:r>
      <w:r w:rsidR="00F3783C" w:rsidRPr="0084402E">
        <w:rPr>
          <w:rFonts w:ascii="Arial" w:eastAsiaTheme="majorEastAsia" w:hAnsi="Arial" w:cs="Arial"/>
          <w:bCs/>
          <w:iCs/>
          <w:sz w:val="24"/>
          <w:szCs w:val="24"/>
        </w:rPr>
        <w:t xml:space="preserve">el periodo </w:t>
      </w:r>
      <w:r w:rsidR="0082026F" w:rsidRPr="0084402E">
        <w:rPr>
          <w:rFonts w:ascii="Arial" w:eastAsiaTheme="majorEastAsia" w:hAnsi="Arial" w:cs="Arial"/>
          <w:bCs/>
          <w:iCs/>
          <w:sz w:val="24"/>
          <w:szCs w:val="24"/>
        </w:rPr>
        <w:t>de atención al que se refiere</w:t>
      </w:r>
      <w:r w:rsidR="00564694" w:rsidRPr="0084402E">
        <w:rPr>
          <w:rFonts w:ascii="Arial" w:eastAsiaTheme="majorEastAsia" w:hAnsi="Arial" w:cs="Arial"/>
          <w:bCs/>
          <w:iCs/>
          <w:sz w:val="24"/>
          <w:szCs w:val="24"/>
        </w:rPr>
        <w:t xml:space="preserve"> y con el cual se compara, para poder hacer una valoración del desempeño en estos indicadores, ya que las metas por sí solas no se pueden analizar sin esa información, no obstante que muestren </w:t>
      </w:r>
      <w:r w:rsidR="0015475A" w:rsidRPr="0084402E">
        <w:rPr>
          <w:rFonts w:ascii="Arial" w:eastAsiaTheme="majorEastAsia" w:hAnsi="Arial" w:cs="Arial"/>
          <w:bCs/>
          <w:iCs/>
          <w:sz w:val="24"/>
          <w:szCs w:val="24"/>
        </w:rPr>
        <w:t>se alcanzan o se superan en algunos casos; de hecho, esto no queda claro</w:t>
      </w:r>
      <w:r w:rsidR="00F27E45" w:rsidRPr="0084402E">
        <w:rPr>
          <w:rFonts w:ascii="Arial" w:eastAsiaTheme="majorEastAsia" w:hAnsi="Arial" w:cs="Arial"/>
          <w:bCs/>
          <w:iCs/>
          <w:sz w:val="24"/>
          <w:szCs w:val="24"/>
        </w:rPr>
        <w:t>,</w:t>
      </w:r>
      <w:r w:rsidR="0015475A" w:rsidRPr="0084402E">
        <w:rPr>
          <w:rFonts w:ascii="Arial" w:eastAsiaTheme="majorEastAsia" w:hAnsi="Arial" w:cs="Arial"/>
          <w:bCs/>
          <w:iCs/>
          <w:sz w:val="24"/>
          <w:szCs w:val="24"/>
        </w:rPr>
        <w:t xml:space="preserve"> pues tampoco lo es el sentido de la medición</w:t>
      </w:r>
      <w:r w:rsidR="00564694" w:rsidRPr="0084402E">
        <w:rPr>
          <w:rFonts w:ascii="Arial" w:eastAsiaTheme="majorEastAsia" w:hAnsi="Arial" w:cs="Arial"/>
          <w:bCs/>
          <w:iCs/>
          <w:sz w:val="24"/>
          <w:szCs w:val="24"/>
        </w:rPr>
        <w:t>. La diferencia entre los tres indicadores es la modalidad de atención, pero todos se refieren a la cobertura de los servicios. En ese sentido, encontramos que los indicadores de componente que se reportan en el Sistema de Formato Único son más relevantes</w:t>
      </w:r>
      <w:r w:rsidR="00F27E45" w:rsidRPr="0084402E">
        <w:rPr>
          <w:rFonts w:ascii="Arial" w:eastAsiaTheme="majorEastAsia" w:hAnsi="Arial" w:cs="Arial"/>
          <w:bCs/>
          <w:iCs/>
          <w:sz w:val="24"/>
          <w:szCs w:val="24"/>
        </w:rPr>
        <w:t>,</w:t>
      </w:r>
      <w:r w:rsidR="00564694" w:rsidRPr="0084402E">
        <w:rPr>
          <w:rFonts w:ascii="Arial" w:eastAsiaTheme="majorEastAsia" w:hAnsi="Arial" w:cs="Arial"/>
          <w:bCs/>
          <w:iCs/>
          <w:sz w:val="24"/>
          <w:szCs w:val="24"/>
        </w:rPr>
        <w:t xml:space="preserve"> ya que no se enfocan a la cobertura sino a</w:t>
      </w:r>
      <w:r w:rsidR="00A83C31">
        <w:rPr>
          <w:rFonts w:ascii="Arial" w:eastAsiaTheme="majorEastAsia" w:hAnsi="Arial" w:cs="Arial"/>
          <w:bCs/>
          <w:iCs/>
          <w:sz w:val="24"/>
          <w:szCs w:val="24"/>
        </w:rPr>
        <w:t>l</w:t>
      </w:r>
      <w:r w:rsidR="00564694" w:rsidRPr="0084402E">
        <w:rPr>
          <w:rFonts w:ascii="Arial" w:eastAsiaTheme="majorEastAsia" w:hAnsi="Arial" w:cs="Arial"/>
          <w:bCs/>
          <w:iCs/>
          <w:sz w:val="24"/>
          <w:szCs w:val="24"/>
        </w:rPr>
        <w:t xml:space="preserve"> logro educativo que obtiene la población atendida en cada nivel que se ofrece. </w:t>
      </w:r>
    </w:p>
    <w:p w14:paraId="7B841F56" w14:textId="77777777" w:rsidR="00374B0F" w:rsidRPr="0084402E" w:rsidRDefault="00374B0F" w:rsidP="000327F9">
      <w:pPr>
        <w:spacing w:after="0" w:line="360" w:lineRule="auto"/>
        <w:jc w:val="both"/>
        <w:rPr>
          <w:rFonts w:ascii="Arial" w:eastAsiaTheme="majorEastAsia" w:hAnsi="Arial" w:cs="Arial"/>
          <w:bCs/>
          <w:iCs/>
          <w:sz w:val="24"/>
          <w:szCs w:val="24"/>
        </w:rPr>
      </w:pPr>
    </w:p>
    <w:p w14:paraId="408EC05F" w14:textId="4C6D09CA" w:rsidR="00ED6FFE" w:rsidRPr="0084402E" w:rsidRDefault="00ED6FFE" w:rsidP="000327F9">
      <w:pPr>
        <w:spacing w:after="0" w:line="360" w:lineRule="auto"/>
        <w:jc w:val="both"/>
        <w:rPr>
          <w:rFonts w:ascii="Arial" w:eastAsiaTheme="majorEastAsia" w:hAnsi="Arial" w:cs="Arial"/>
          <w:bCs/>
          <w:iCs/>
          <w:sz w:val="24"/>
          <w:szCs w:val="24"/>
        </w:rPr>
      </w:pPr>
      <w:r w:rsidRPr="0084402E">
        <w:rPr>
          <w:rFonts w:ascii="Arial" w:eastAsiaTheme="majorEastAsia" w:hAnsi="Arial" w:cs="Arial"/>
          <w:bCs/>
          <w:iCs/>
          <w:sz w:val="24"/>
          <w:szCs w:val="24"/>
        </w:rPr>
        <w:lastRenderedPageBreak/>
        <w:t>Por otra parte, el programa a través del cual se ejercen los recursos en el ejercicio 2013</w:t>
      </w:r>
      <w:r w:rsidR="00F27E45" w:rsidRPr="0084402E">
        <w:rPr>
          <w:rFonts w:ascii="Arial" w:eastAsiaTheme="majorEastAsia" w:hAnsi="Arial" w:cs="Arial"/>
          <w:bCs/>
          <w:iCs/>
          <w:sz w:val="24"/>
          <w:szCs w:val="24"/>
        </w:rPr>
        <w:t xml:space="preserve"> no contaba con una MIR estatal, p</w:t>
      </w:r>
      <w:r w:rsidRPr="0084402E">
        <w:rPr>
          <w:rFonts w:ascii="Arial" w:eastAsiaTheme="majorEastAsia" w:hAnsi="Arial" w:cs="Arial"/>
          <w:bCs/>
          <w:iCs/>
          <w:sz w:val="24"/>
          <w:szCs w:val="24"/>
        </w:rPr>
        <w:t>or lo que el seguimiento y evaluación del avance en el ejercicio 2014 con respecto a ese año se dificulta. En el Presupuesto de Egresos 2013 del estado de Yucatán en el Programa Operativo Anual se estableció para este Progr</w:t>
      </w:r>
      <w:r w:rsidR="00D87D6C" w:rsidRPr="0084402E">
        <w:rPr>
          <w:rFonts w:ascii="Arial" w:eastAsiaTheme="majorEastAsia" w:hAnsi="Arial" w:cs="Arial"/>
          <w:bCs/>
          <w:iCs/>
          <w:sz w:val="24"/>
          <w:szCs w:val="24"/>
        </w:rPr>
        <w:t>ama Presupuestario el indicador</w:t>
      </w:r>
      <w:r w:rsidRPr="0084402E">
        <w:rPr>
          <w:rFonts w:ascii="Arial" w:eastAsiaTheme="majorEastAsia" w:hAnsi="Arial" w:cs="Arial"/>
          <w:bCs/>
          <w:iCs/>
          <w:sz w:val="24"/>
          <w:szCs w:val="24"/>
        </w:rPr>
        <w:t xml:space="preserve"> “Grado promedio de escolaridad” relativo al número de años que en promedio aprobaron las personas de 15 años y más, en</w:t>
      </w:r>
      <w:r w:rsidR="00BB255A" w:rsidRPr="0084402E">
        <w:rPr>
          <w:rFonts w:ascii="Arial" w:eastAsiaTheme="majorEastAsia" w:hAnsi="Arial" w:cs="Arial"/>
          <w:bCs/>
          <w:iCs/>
          <w:sz w:val="24"/>
          <w:szCs w:val="24"/>
        </w:rPr>
        <w:t xml:space="preserve"> el Sistema Educativo Nacional, </w:t>
      </w:r>
      <w:r w:rsidR="00D87D6C" w:rsidRPr="0084402E">
        <w:rPr>
          <w:rFonts w:ascii="Arial" w:eastAsiaTheme="majorEastAsia" w:hAnsi="Arial" w:cs="Arial"/>
          <w:bCs/>
          <w:iCs/>
          <w:sz w:val="24"/>
          <w:szCs w:val="24"/>
        </w:rPr>
        <w:t>sin embargo, en ese documento só</w:t>
      </w:r>
      <w:r w:rsidR="00BB255A" w:rsidRPr="0084402E">
        <w:rPr>
          <w:rFonts w:ascii="Arial" w:eastAsiaTheme="majorEastAsia" w:hAnsi="Arial" w:cs="Arial"/>
          <w:bCs/>
          <w:iCs/>
          <w:sz w:val="24"/>
          <w:szCs w:val="24"/>
        </w:rPr>
        <w:t>lo está descrito el indicador sin meta ni s</w:t>
      </w:r>
      <w:r w:rsidR="00F27E45" w:rsidRPr="0084402E">
        <w:rPr>
          <w:rFonts w:ascii="Arial" w:eastAsiaTheme="majorEastAsia" w:hAnsi="Arial" w:cs="Arial"/>
          <w:bCs/>
          <w:iCs/>
          <w:sz w:val="24"/>
          <w:szCs w:val="24"/>
        </w:rPr>
        <w:t>eguimiento. Por otra parte en el</w:t>
      </w:r>
      <w:r w:rsidR="00BB255A" w:rsidRPr="0084402E">
        <w:rPr>
          <w:rFonts w:ascii="Arial" w:eastAsiaTheme="majorEastAsia" w:hAnsi="Arial" w:cs="Arial"/>
          <w:bCs/>
          <w:iCs/>
          <w:sz w:val="24"/>
          <w:szCs w:val="24"/>
        </w:rPr>
        <w:t xml:space="preserve"> POA de la actividad programática para 2014 se incluye el indicador “Porcentaje de analfabetismo”</w:t>
      </w:r>
      <w:r w:rsidR="00042A2A" w:rsidRPr="0084402E">
        <w:rPr>
          <w:rFonts w:ascii="Arial" w:eastAsiaTheme="majorEastAsia" w:hAnsi="Arial" w:cs="Arial"/>
          <w:bCs/>
          <w:iCs/>
          <w:sz w:val="24"/>
          <w:szCs w:val="24"/>
        </w:rPr>
        <w:t xml:space="preserve"> que se describe en ese documento como el porcentaje</w:t>
      </w:r>
      <w:r w:rsidR="00BB255A" w:rsidRPr="0084402E">
        <w:rPr>
          <w:rFonts w:ascii="Arial" w:eastAsiaTheme="majorEastAsia" w:hAnsi="Arial" w:cs="Arial"/>
          <w:bCs/>
          <w:iCs/>
          <w:sz w:val="24"/>
          <w:szCs w:val="24"/>
        </w:rPr>
        <w:t xml:space="preserve"> la población de 15 años o más atendida</w:t>
      </w:r>
      <w:r w:rsidR="00042A2A" w:rsidRPr="0084402E">
        <w:rPr>
          <w:rFonts w:ascii="Arial" w:eastAsiaTheme="majorEastAsia" w:hAnsi="Arial" w:cs="Arial"/>
          <w:bCs/>
          <w:iCs/>
          <w:sz w:val="24"/>
          <w:szCs w:val="24"/>
        </w:rPr>
        <w:t xml:space="preserve"> con respecto a la población total analfabeta, con una línea base de 8.5% y una meta de 8%. Estos últimos indicadores coinciden con los indicadores que se mencionan en el Plan Estatal de Desarrollo. </w:t>
      </w:r>
    </w:p>
    <w:p w14:paraId="3F76E0EA" w14:textId="77777777" w:rsidR="000327F9" w:rsidRPr="0084402E" w:rsidRDefault="000327F9" w:rsidP="000327F9">
      <w:pPr>
        <w:spacing w:after="0" w:line="360" w:lineRule="auto"/>
        <w:jc w:val="both"/>
        <w:rPr>
          <w:rFonts w:ascii="Arial" w:eastAsiaTheme="majorEastAsia" w:hAnsi="Arial" w:cs="Arial"/>
          <w:bCs/>
          <w:iCs/>
          <w:sz w:val="24"/>
          <w:szCs w:val="24"/>
        </w:rPr>
      </w:pPr>
    </w:p>
    <w:p w14:paraId="4E9F5A22" w14:textId="1A35BDE3" w:rsidR="000327F9" w:rsidRDefault="000327F9" w:rsidP="000327F9">
      <w:pPr>
        <w:spacing w:after="0" w:line="360" w:lineRule="auto"/>
        <w:jc w:val="both"/>
        <w:rPr>
          <w:rFonts w:ascii="Arial" w:eastAsiaTheme="majorEastAsia" w:hAnsi="Arial" w:cs="Arial"/>
          <w:bCs/>
          <w:iCs/>
          <w:sz w:val="24"/>
          <w:szCs w:val="24"/>
        </w:rPr>
      </w:pPr>
      <w:r w:rsidRPr="0084402E">
        <w:rPr>
          <w:rFonts w:ascii="Arial" w:eastAsiaTheme="majorEastAsia" w:hAnsi="Arial" w:cs="Arial"/>
          <w:bCs/>
          <w:iCs/>
          <w:sz w:val="24"/>
          <w:szCs w:val="24"/>
        </w:rPr>
        <w:t>Así, se tiene distintos instrumentos de seguimiento, POAs, SFU, MIR, S</w:t>
      </w:r>
      <w:r w:rsidR="00207CD0">
        <w:rPr>
          <w:rFonts w:ascii="Arial" w:eastAsiaTheme="majorEastAsia" w:hAnsi="Arial" w:cs="Arial"/>
          <w:bCs/>
          <w:iCs/>
          <w:sz w:val="24"/>
          <w:szCs w:val="24"/>
        </w:rPr>
        <w:t>IGEY</w:t>
      </w:r>
      <w:r w:rsidRPr="0084402E">
        <w:rPr>
          <w:rFonts w:ascii="Arial" w:eastAsiaTheme="majorEastAsia" w:hAnsi="Arial" w:cs="Arial"/>
          <w:bCs/>
          <w:iCs/>
          <w:sz w:val="24"/>
          <w:szCs w:val="24"/>
        </w:rPr>
        <w:t xml:space="preserve">, con indicadores distintos pero que tienen en común algunas variables, y que en algunos casos resultan poco relevantes o poco claros, y </w:t>
      </w:r>
      <w:r w:rsidR="00204A4A" w:rsidRPr="0084402E">
        <w:rPr>
          <w:rFonts w:ascii="Arial" w:eastAsiaTheme="majorEastAsia" w:hAnsi="Arial" w:cs="Arial"/>
          <w:bCs/>
          <w:iCs/>
          <w:sz w:val="24"/>
          <w:szCs w:val="24"/>
        </w:rPr>
        <w:t>no es posible establecer una congruencia entre sus metas. Por lo anterior se recomienda realizar un análisis de los objetivos del programa que, como se vio en las respuestas anteriores, están bien definidos y delimitados, y di</w:t>
      </w:r>
      <w:r w:rsidR="00D87D6C" w:rsidRPr="0084402E">
        <w:rPr>
          <w:rFonts w:ascii="Arial" w:eastAsiaTheme="majorEastAsia" w:hAnsi="Arial" w:cs="Arial"/>
          <w:bCs/>
          <w:iCs/>
          <w:sz w:val="24"/>
          <w:szCs w:val="24"/>
        </w:rPr>
        <w:t xml:space="preserve">señar una serie de indicadores </w:t>
      </w:r>
      <w:r w:rsidR="00204A4A" w:rsidRPr="0084402E">
        <w:rPr>
          <w:rFonts w:ascii="Arial" w:eastAsiaTheme="majorEastAsia" w:hAnsi="Arial" w:cs="Arial"/>
          <w:bCs/>
          <w:iCs/>
          <w:sz w:val="24"/>
          <w:szCs w:val="24"/>
        </w:rPr>
        <w:t>para el s</w:t>
      </w:r>
      <w:r w:rsidR="00D4362D" w:rsidRPr="0084402E">
        <w:rPr>
          <w:rFonts w:ascii="Arial" w:eastAsiaTheme="majorEastAsia" w:hAnsi="Arial" w:cs="Arial"/>
          <w:bCs/>
          <w:iCs/>
          <w:sz w:val="24"/>
          <w:szCs w:val="24"/>
        </w:rPr>
        <w:t xml:space="preserve">eguimiento de dichos objetivos, con base en una identificación clara de sus variables y las fuentes de información de las mismas, con el fin de que las metas de los indicadores que se manejen los distintos instrumentos sean congruentes y se haga posible un </w:t>
      </w:r>
      <w:r w:rsidR="009C6A14" w:rsidRPr="0084402E">
        <w:rPr>
          <w:rFonts w:ascii="Arial" w:eastAsiaTheme="majorEastAsia" w:hAnsi="Arial" w:cs="Arial"/>
          <w:bCs/>
          <w:iCs/>
          <w:sz w:val="24"/>
          <w:szCs w:val="24"/>
        </w:rPr>
        <w:t xml:space="preserve">mejor </w:t>
      </w:r>
      <w:r w:rsidR="00D4362D" w:rsidRPr="0084402E">
        <w:rPr>
          <w:rFonts w:ascii="Arial" w:eastAsiaTheme="majorEastAsia" w:hAnsi="Arial" w:cs="Arial"/>
          <w:bCs/>
          <w:iCs/>
          <w:sz w:val="24"/>
          <w:szCs w:val="24"/>
        </w:rPr>
        <w:t xml:space="preserve">seguimiento y una </w:t>
      </w:r>
      <w:r w:rsidR="009C6A14" w:rsidRPr="0084402E">
        <w:rPr>
          <w:rFonts w:ascii="Arial" w:eastAsiaTheme="majorEastAsia" w:hAnsi="Arial" w:cs="Arial"/>
          <w:bCs/>
          <w:iCs/>
          <w:sz w:val="24"/>
          <w:szCs w:val="24"/>
        </w:rPr>
        <w:t xml:space="preserve">mejor </w:t>
      </w:r>
      <w:r w:rsidR="00D4362D" w:rsidRPr="0084402E">
        <w:rPr>
          <w:rFonts w:ascii="Arial" w:eastAsiaTheme="majorEastAsia" w:hAnsi="Arial" w:cs="Arial"/>
          <w:bCs/>
          <w:iCs/>
          <w:sz w:val="24"/>
          <w:szCs w:val="24"/>
        </w:rPr>
        <w:t>evaluación del cumplimiento de los objetivos. En este sentido, se recomienda en particular la utilización de la Metodología del Marco Lógico para rediseñar la MIR del programa presupuestario estatal a través del cual se ejercen los recursos, tomando en cuenta que los indicadores de Fin, Propósito y Componente que se tienen que reportar en el SFU, son adecuados y rele</w:t>
      </w:r>
      <w:r w:rsidR="009C6A14" w:rsidRPr="0084402E">
        <w:rPr>
          <w:rFonts w:ascii="Arial" w:eastAsiaTheme="majorEastAsia" w:hAnsi="Arial" w:cs="Arial"/>
          <w:bCs/>
          <w:iCs/>
          <w:sz w:val="24"/>
          <w:szCs w:val="24"/>
        </w:rPr>
        <w:t xml:space="preserve">vantes y además su utilización y seguimiento es obligatorio de acuerdo con la normatividad del fondo, por lo que se considera conveniente partir de ellos y no tener indicadores duplicados o que sean una expresión distinta de las mismas variables. Se recomienda también ser </w:t>
      </w:r>
      <w:r w:rsidR="009C6A14" w:rsidRPr="0084402E">
        <w:rPr>
          <w:rFonts w:ascii="Arial" w:eastAsiaTheme="majorEastAsia" w:hAnsi="Arial" w:cs="Arial"/>
          <w:bCs/>
          <w:iCs/>
          <w:sz w:val="24"/>
          <w:szCs w:val="24"/>
        </w:rPr>
        <w:lastRenderedPageBreak/>
        <w:t xml:space="preserve">rigurosos técnicamente con la aplicación de la Metodología del Marco Lógico para que la MIR resultante tenga todos los elementos requeridos para un adecuado seguimiento y evaluación del programa. </w:t>
      </w:r>
    </w:p>
    <w:p w14:paraId="26113A25" w14:textId="77777777" w:rsidR="006B1299" w:rsidRDefault="006B1299" w:rsidP="000327F9">
      <w:pPr>
        <w:spacing w:after="0" w:line="360" w:lineRule="auto"/>
        <w:jc w:val="both"/>
        <w:rPr>
          <w:rFonts w:ascii="Arial" w:eastAsiaTheme="majorEastAsia" w:hAnsi="Arial" w:cs="Arial"/>
          <w:bCs/>
          <w:iCs/>
          <w:sz w:val="24"/>
          <w:szCs w:val="24"/>
        </w:rPr>
      </w:pPr>
    </w:p>
    <w:p w14:paraId="1D070545" w14:textId="56C69E5B" w:rsidR="006B1299" w:rsidRPr="0084402E" w:rsidRDefault="006B1299" w:rsidP="000327F9">
      <w:pPr>
        <w:spacing w:after="0" w:line="360" w:lineRule="auto"/>
        <w:jc w:val="both"/>
        <w:rPr>
          <w:rFonts w:ascii="Arial" w:eastAsiaTheme="majorEastAsia" w:hAnsi="Arial" w:cs="Arial"/>
          <w:bCs/>
          <w:iCs/>
          <w:sz w:val="24"/>
          <w:szCs w:val="24"/>
        </w:rPr>
      </w:pPr>
      <w:r w:rsidRPr="00315EF2">
        <w:rPr>
          <w:rFonts w:ascii="Arial" w:eastAsiaTheme="majorEastAsia" w:hAnsi="Arial" w:cs="Arial"/>
          <w:bCs/>
          <w:iCs/>
          <w:sz w:val="24"/>
          <w:szCs w:val="24"/>
        </w:rPr>
        <w:t>No obstante lo anterior</w:t>
      </w:r>
      <w:r w:rsidR="00203AE3" w:rsidRPr="00315EF2">
        <w:rPr>
          <w:rFonts w:ascii="Arial" w:eastAsiaTheme="majorEastAsia" w:hAnsi="Arial" w:cs="Arial"/>
          <w:bCs/>
          <w:iCs/>
          <w:sz w:val="24"/>
          <w:szCs w:val="24"/>
        </w:rPr>
        <w:t>,</w:t>
      </w:r>
      <w:r w:rsidRPr="00315EF2">
        <w:rPr>
          <w:rFonts w:ascii="Arial" w:eastAsiaTheme="majorEastAsia" w:hAnsi="Arial" w:cs="Arial"/>
          <w:bCs/>
          <w:iCs/>
          <w:sz w:val="24"/>
          <w:szCs w:val="24"/>
        </w:rPr>
        <w:t xml:space="preserve"> </w:t>
      </w:r>
      <w:r w:rsidR="00203AE3" w:rsidRPr="00315EF2">
        <w:rPr>
          <w:rFonts w:ascii="Arial" w:eastAsiaTheme="majorEastAsia" w:hAnsi="Arial" w:cs="Arial"/>
          <w:bCs/>
          <w:iCs/>
          <w:sz w:val="24"/>
          <w:szCs w:val="24"/>
        </w:rPr>
        <w:t xml:space="preserve">el ente ejecutor cuenta con la información de la ficha técnica de los indicadores del programa presupuestario “Rezago Educativo”, documento en el que se contiene la información requerida para el seguimiento de los objetivos y metas </w:t>
      </w:r>
      <w:r w:rsidR="00315EF2" w:rsidRPr="00315EF2">
        <w:rPr>
          <w:rFonts w:ascii="Arial" w:eastAsiaTheme="majorEastAsia" w:hAnsi="Arial" w:cs="Arial"/>
          <w:bCs/>
          <w:iCs/>
          <w:sz w:val="24"/>
          <w:szCs w:val="24"/>
        </w:rPr>
        <w:t>del programa, por lo que se sug</w:t>
      </w:r>
      <w:r w:rsidR="00203AE3" w:rsidRPr="00315EF2">
        <w:rPr>
          <w:rFonts w:ascii="Arial" w:eastAsiaTheme="majorEastAsia" w:hAnsi="Arial" w:cs="Arial"/>
          <w:bCs/>
          <w:iCs/>
          <w:sz w:val="24"/>
          <w:szCs w:val="24"/>
        </w:rPr>
        <w:t>iere que se alimente la MIR estatal con esa información.</w:t>
      </w:r>
    </w:p>
    <w:p w14:paraId="202BE7F3" w14:textId="0FB6E1B0" w:rsidR="000327F9" w:rsidRPr="0084402E" w:rsidRDefault="005F4771" w:rsidP="005F4771">
      <w:pPr>
        <w:spacing w:after="0" w:line="240" w:lineRule="auto"/>
        <w:rPr>
          <w:rFonts w:ascii="Arial" w:eastAsiaTheme="majorEastAsia" w:hAnsi="Arial" w:cs="Arial"/>
          <w:bCs/>
          <w:iCs/>
          <w:sz w:val="24"/>
          <w:szCs w:val="24"/>
        </w:rPr>
      </w:pPr>
      <w:r>
        <w:rPr>
          <w:rFonts w:ascii="Arial" w:eastAsiaTheme="majorEastAsia" w:hAnsi="Arial" w:cs="Arial"/>
          <w:bCs/>
          <w:iCs/>
          <w:sz w:val="24"/>
          <w:szCs w:val="24"/>
        </w:rPr>
        <w:br w:type="page"/>
      </w:r>
    </w:p>
    <w:p w14:paraId="4F6E2334" w14:textId="77777777" w:rsidR="002D4695" w:rsidRPr="0084402E" w:rsidRDefault="002D4695" w:rsidP="002D4695">
      <w:pPr>
        <w:spacing w:after="0" w:line="360" w:lineRule="auto"/>
        <w:jc w:val="center"/>
        <w:rPr>
          <w:rFonts w:ascii="Arial" w:eastAsiaTheme="majorEastAsia" w:hAnsi="Arial" w:cs="Arial"/>
          <w:b/>
          <w:bCs/>
          <w:i/>
          <w:iCs/>
          <w:sz w:val="24"/>
          <w:szCs w:val="24"/>
        </w:rPr>
      </w:pPr>
    </w:p>
    <w:p w14:paraId="4F495822" w14:textId="77777777" w:rsidR="002D4695" w:rsidRPr="0084402E" w:rsidRDefault="002D4695" w:rsidP="002D4695">
      <w:pPr>
        <w:spacing w:after="0" w:line="360" w:lineRule="auto"/>
        <w:jc w:val="center"/>
        <w:rPr>
          <w:rFonts w:ascii="Arial" w:eastAsiaTheme="majorEastAsia" w:hAnsi="Arial" w:cs="Arial"/>
          <w:b/>
          <w:bCs/>
          <w:i/>
          <w:iCs/>
          <w:sz w:val="24"/>
          <w:szCs w:val="24"/>
        </w:rPr>
      </w:pPr>
    </w:p>
    <w:p w14:paraId="4BC6ECD0" w14:textId="77777777" w:rsidR="002D4695" w:rsidRPr="0084402E" w:rsidRDefault="002D4695" w:rsidP="002D4695">
      <w:pPr>
        <w:spacing w:after="0" w:line="360" w:lineRule="auto"/>
        <w:jc w:val="center"/>
        <w:rPr>
          <w:rFonts w:ascii="Arial" w:eastAsiaTheme="majorEastAsia" w:hAnsi="Arial" w:cs="Arial"/>
          <w:b/>
          <w:bCs/>
          <w:i/>
          <w:iCs/>
          <w:sz w:val="24"/>
          <w:szCs w:val="24"/>
        </w:rPr>
      </w:pPr>
    </w:p>
    <w:p w14:paraId="2977C6F3" w14:textId="77777777" w:rsidR="002D4695" w:rsidRPr="0084402E" w:rsidRDefault="002D4695" w:rsidP="002D4695">
      <w:pPr>
        <w:spacing w:after="0" w:line="360" w:lineRule="auto"/>
        <w:jc w:val="center"/>
        <w:rPr>
          <w:rFonts w:ascii="Arial" w:eastAsiaTheme="majorEastAsia" w:hAnsi="Arial" w:cs="Arial"/>
          <w:b/>
          <w:bCs/>
          <w:i/>
          <w:iCs/>
          <w:sz w:val="24"/>
          <w:szCs w:val="24"/>
        </w:rPr>
      </w:pPr>
    </w:p>
    <w:p w14:paraId="73181484" w14:textId="77777777" w:rsidR="002D4695" w:rsidRPr="0084402E" w:rsidRDefault="002D4695" w:rsidP="002D4695">
      <w:pPr>
        <w:spacing w:after="0" w:line="360" w:lineRule="auto"/>
        <w:jc w:val="center"/>
        <w:rPr>
          <w:rFonts w:ascii="Arial" w:eastAsiaTheme="majorEastAsia" w:hAnsi="Arial" w:cs="Arial"/>
          <w:b/>
          <w:bCs/>
          <w:i/>
          <w:iCs/>
          <w:sz w:val="24"/>
          <w:szCs w:val="24"/>
        </w:rPr>
      </w:pPr>
    </w:p>
    <w:p w14:paraId="7DD80DA7" w14:textId="77777777" w:rsidR="002D4695" w:rsidRPr="0084402E" w:rsidRDefault="002D4695" w:rsidP="002D4695">
      <w:pPr>
        <w:spacing w:after="0" w:line="360" w:lineRule="auto"/>
        <w:jc w:val="center"/>
        <w:rPr>
          <w:rFonts w:ascii="Arial" w:eastAsiaTheme="majorEastAsia" w:hAnsi="Arial" w:cs="Arial"/>
          <w:b/>
          <w:bCs/>
          <w:i/>
          <w:iCs/>
          <w:sz w:val="24"/>
          <w:szCs w:val="24"/>
        </w:rPr>
      </w:pPr>
    </w:p>
    <w:p w14:paraId="6490A9B1" w14:textId="77777777" w:rsidR="002D4695" w:rsidRPr="0084402E" w:rsidRDefault="002D4695" w:rsidP="002D4695">
      <w:pPr>
        <w:spacing w:after="0" w:line="360" w:lineRule="auto"/>
        <w:jc w:val="center"/>
        <w:rPr>
          <w:rFonts w:ascii="Arial" w:eastAsiaTheme="majorEastAsia" w:hAnsi="Arial" w:cs="Arial"/>
          <w:b/>
          <w:bCs/>
          <w:i/>
          <w:iCs/>
          <w:sz w:val="24"/>
          <w:szCs w:val="24"/>
        </w:rPr>
      </w:pPr>
    </w:p>
    <w:p w14:paraId="1CCAC60B" w14:textId="77777777" w:rsidR="002D4695" w:rsidRPr="0084402E" w:rsidRDefault="002D4695" w:rsidP="002D4695">
      <w:pPr>
        <w:spacing w:after="0" w:line="360" w:lineRule="auto"/>
        <w:jc w:val="center"/>
        <w:rPr>
          <w:rFonts w:ascii="Arial" w:eastAsiaTheme="majorEastAsia" w:hAnsi="Arial" w:cs="Arial"/>
          <w:b/>
          <w:bCs/>
          <w:i/>
          <w:iCs/>
          <w:sz w:val="24"/>
          <w:szCs w:val="24"/>
        </w:rPr>
      </w:pPr>
    </w:p>
    <w:p w14:paraId="2A1C4633" w14:textId="77777777" w:rsidR="002D4695" w:rsidRPr="0084402E" w:rsidRDefault="002D4695" w:rsidP="002D4695">
      <w:pPr>
        <w:spacing w:after="0" w:line="360" w:lineRule="auto"/>
        <w:jc w:val="center"/>
        <w:rPr>
          <w:rFonts w:ascii="Arial" w:eastAsiaTheme="majorEastAsia" w:hAnsi="Arial" w:cs="Arial"/>
          <w:b/>
          <w:bCs/>
          <w:i/>
          <w:iCs/>
          <w:sz w:val="24"/>
          <w:szCs w:val="24"/>
        </w:rPr>
      </w:pPr>
    </w:p>
    <w:p w14:paraId="19BDE0D4" w14:textId="77777777" w:rsidR="002D4695" w:rsidRPr="0084402E" w:rsidRDefault="002D4695" w:rsidP="002D4695">
      <w:pPr>
        <w:spacing w:after="0" w:line="360" w:lineRule="auto"/>
        <w:jc w:val="center"/>
        <w:rPr>
          <w:rFonts w:ascii="Arial" w:eastAsiaTheme="majorEastAsia" w:hAnsi="Arial" w:cs="Arial"/>
          <w:b/>
          <w:bCs/>
          <w:i/>
          <w:iCs/>
          <w:sz w:val="24"/>
          <w:szCs w:val="24"/>
        </w:rPr>
      </w:pPr>
    </w:p>
    <w:p w14:paraId="2466F7BD" w14:textId="77777777" w:rsidR="002D4695" w:rsidRPr="0084402E" w:rsidRDefault="002D4695" w:rsidP="002D4695">
      <w:pPr>
        <w:spacing w:after="0" w:line="360" w:lineRule="auto"/>
        <w:jc w:val="center"/>
        <w:rPr>
          <w:rFonts w:ascii="Arial" w:eastAsiaTheme="majorEastAsia" w:hAnsi="Arial" w:cs="Arial"/>
          <w:b/>
          <w:bCs/>
          <w:i/>
          <w:iCs/>
          <w:sz w:val="24"/>
          <w:szCs w:val="24"/>
        </w:rPr>
      </w:pPr>
    </w:p>
    <w:p w14:paraId="1C7A8A9E" w14:textId="77777777" w:rsidR="002D4695" w:rsidRPr="0084402E" w:rsidRDefault="002D4695" w:rsidP="002D4695">
      <w:pPr>
        <w:spacing w:after="0" w:line="360" w:lineRule="auto"/>
        <w:jc w:val="center"/>
        <w:rPr>
          <w:rFonts w:ascii="Arial" w:eastAsiaTheme="majorEastAsia" w:hAnsi="Arial" w:cs="Arial"/>
          <w:b/>
          <w:bCs/>
          <w:i/>
          <w:iCs/>
          <w:sz w:val="24"/>
          <w:szCs w:val="24"/>
        </w:rPr>
      </w:pPr>
    </w:p>
    <w:p w14:paraId="24249083" w14:textId="261BCE27" w:rsidR="00C671F3" w:rsidRPr="0084402E" w:rsidRDefault="002D4695" w:rsidP="002D4695">
      <w:pPr>
        <w:spacing w:after="0" w:line="360" w:lineRule="auto"/>
        <w:jc w:val="center"/>
        <w:rPr>
          <w:rFonts w:ascii="Arial" w:eastAsiaTheme="majorEastAsia" w:hAnsi="Arial" w:cs="Arial"/>
          <w:b/>
          <w:bCs/>
          <w:iCs/>
          <w:sz w:val="24"/>
          <w:szCs w:val="24"/>
        </w:rPr>
      </w:pPr>
      <w:r w:rsidRPr="0084402E">
        <w:rPr>
          <w:rFonts w:ascii="Arial" w:eastAsiaTheme="majorEastAsia" w:hAnsi="Arial" w:cs="Arial"/>
          <w:b/>
          <w:bCs/>
          <w:iCs/>
          <w:sz w:val="24"/>
          <w:szCs w:val="24"/>
        </w:rPr>
        <w:t xml:space="preserve">V. OPERACIÓN </w:t>
      </w:r>
      <w:bookmarkEnd w:id="4"/>
      <w:bookmarkEnd w:id="5"/>
    </w:p>
    <w:p w14:paraId="29C8C583" w14:textId="77777777" w:rsidR="00C671F3" w:rsidRPr="0084402E" w:rsidRDefault="00C671F3" w:rsidP="004C0514">
      <w:pPr>
        <w:spacing w:after="0" w:line="360" w:lineRule="auto"/>
        <w:jc w:val="both"/>
        <w:rPr>
          <w:rFonts w:ascii="Arial" w:eastAsiaTheme="minorEastAsia" w:hAnsi="Arial" w:cs="Arial"/>
          <w:sz w:val="24"/>
          <w:szCs w:val="24"/>
        </w:rPr>
      </w:pPr>
    </w:p>
    <w:p w14:paraId="164DF6DA" w14:textId="77777777" w:rsidR="00A61E93" w:rsidRPr="0084402E" w:rsidRDefault="00A61E93" w:rsidP="004C0514">
      <w:pPr>
        <w:spacing w:after="0" w:line="360" w:lineRule="auto"/>
        <w:rPr>
          <w:rFonts w:ascii="Arial" w:eastAsiaTheme="minorEastAsia" w:hAnsi="Arial" w:cs="Arial"/>
          <w:sz w:val="24"/>
          <w:szCs w:val="24"/>
        </w:rPr>
      </w:pPr>
      <w:r w:rsidRPr="0084402E">
        <w:rPr>
          <w:rFonts w:ascii="Arial" w:eastAsiaTheme="minorEastAsia" w:hAnsi="Arial" w:cs="Arial"/>
          <w:sz w:val="24"/>
          <w:szCs w:val="24"/>
        </w:rPr>
        <w:br w:type="page"/>
      </w:r>
    </w:p>
    <w:p w14:paraId="4803CEE1" w14:textId="77777777" w:rsidR="00C671F3" w:rsidRPr="0084402E" w:rsidRDefault="00C671F3" w:rsidP="002D4695">
      <w:pPr>
        <w:spacing w:after="0" w:line="360" w:lineRule="auto"/>
        <w:ind w:left="284"/>
        <w:jc w:val="both"/>
        <w:rPr>
          <w:rFonts w:ascii="Arial" w:eastAsiaTheme="minorEastAsia" w:hAnsi="Arial" w:cs="Arial"/>
          <w:sz w:val="24"/>
          <w:szCs w:val="24"/>
        </w:rPr>
      </w:pPr>
      <w:r w:rsidRPr="0084402E">
        <w:rPr>
          <w:rFonts w:ascii="Arial" w:eastAsiaTheme="minorEastAsia" w:hAnsi="Arial" w:cs="Arial"/>
          <w:b/>
          <w:sz w:val="24"/>
          <w:szCs w:val="24"/>
        </w:rPr>
        <w:lastRenderedPageBreak/>
        <w:t>11. Describir las atribuciones de la Dependencia para ejecutar los recursos del Fondo</w:t>
      </w:r>
      <w:r w:rsidRPr="0084402E">
        <w:rPr>
          <w:rFonts w:ascii="Arial" w:eastAsiaTheme="minorEastAsia" w:hAnsi="Arial" w:cs="Arial"/>
          <w:sz w:val="24"/>
          <w:szCs w:val="24"/>
        </w:rPr>
        <w:t xml:space="preserve"> </w:t>
      </w:r>
    </w:p>
    <w:p w14:paraId="552464BB" w14:textId="77777777" w:rsidR="002D4695" w:rsidRPr="0084402E" w:rsidRDefault="002D4695" w:rsidP="002D4695">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RESPUESTA:</w:t>
      </w:r>
    </w:p>
    <w:p w14:paraId="70392F59" w14:textId="3A3D0447" w:rsidR="00C671F3" w:rsidRPr="0084402E" w:rsidRDefault="00931D8C" w:rsidP="004C0514">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Las atribuciones de la dependencia para ejecutar los recursos del Fondo están descritas en el DECRETO NÚMERO 272 del Gobierno del Estado de Yucatán que Crea el Instituto de Educación para Adultos del Estado de Yucatán,</w:t>
      </w:r>
      <w:r w:rsidR="00C1584F" w:rsidRPr="0084402E">
        <w:rPr>
          <w:rFonts w:ascii="Arial" w:eastAsiaTheme="minorEastAsia" w:hAnsi="Arial" w:cs="Arial"/>
          <w:sz w:val="24"/>
          <w:szCs w:val="24"/>
        </w:rPr>
        <w:t xml:space="preserve"> publicado el 22 de junio del 2000 en el órgano oficial de difusión, decreto</w:t>
      </w:r>
      <w:r w:rsidRPr="0084402E">
        <w:rPr>
          <w:rFonts w:ascii="Arial" w:eastAsiaTheme="minorEastAsia" w:hAnsi="Arial" w:cs="Arial"/>
          <w:sz w:val="24"/>
          <w:szCs w:val="24"/>
        </w:rPr>
        <w:t xml:space="preserve"> que a su vez se deriva del CONVENIO de Coordinación para la descentralización de los servicios de educación para adultos que celebran </w:t>
      </w:r>
      <w:r w:rsidR="00AF6786" w:rsidRPr="0084402E">
        <w:rPr>
          <w:rFonts w:ascii="Arial" w:eastAsiaTheme="minorEastAsia" w:hAnsi="Arial" w:cs="Arial"/>
          <w:sz w:val="24"/>
          <w:szCs w:val="24"/>
        </w:rPr>
        <w:t xml:space="preserve">el estado de Yucatán y </w:t>
      </w:r>
      <w:r w:rsidR="004E16B3" w:rsidRPr="0084402E">
        <w:rPr>
          <w:rFonts w:ascii="Arial" w:eastAsiaTheme="minorEastAsia" w:hAnsi="Arial" w:cs="Arial"/>
          <w:sz w:val="24"/>
          <w:szCs w:val="24"/>
        </w:rPr>
        <w:t xml:space="preserve">el Gobierno Federal </w:t>
      </w:r>
      <w:r w:rsidR="00AF6786" w:rsidRPr="0084402E">
        <w:rPr>
          <w:rFonts w:ascii="Arial" w:eastAsiaTheme="minorEastAsia" w:hAnsi="Arial" w:cs="Arial"/>
          <w:sz w:val="24"/>
          <w:szCs w:val="24"/>
        </w:rPr>
        <w:t>a través de</w:t>
      </w:r>
      <w:r w:rsidR="004E16B3" w:rsidRPr="0084402E">
        <w:rPr>
          <w:rFonts w:ascii="Arial" w:eastAsiaTheme="minorEastAsia" w:hAnsi="Arial" w:cs="Arial"/>
          <w:sz w:val="24"/>
          <w:szCs w:val="24"/>
        </w:rPr>
        <w:t>l:</w:t>
      </w:r>
      <w:r w:rsidR="00AF6786" w:rsidRPr="0084402E">
        <w:rPr>
          <w:rFonts w:ascii="Arial" w:eastAsiaTheme="minorEastAsia" w:hAnsi="Arial" w:cs="Arial"/>
          <w:sz w:val="24"/>
          <w:szCs w:val="24"/>
        </w:rPr>
        <w:t xml:space="preserve"> INEA, la SHCP y demás dependencias involucradas, que fue publicado el 27 de septiembre de 1999 en el DOF. </w:t>
      </w:r>
    </w:p>
    <w:p w14:paraId="5CDA6C3B" w14:textId="77777777" w:rsidR="00931D8C" w:rsidRPr="0084402E" w:rsidRDefault="00931D8C" w:rsidP="004C0514">
      <w:pPr>
        <w:spacing w:after="0" w:line="360" w:lineRule="auto"/>
        <w:rPr>
          <w:rFonts w:ascii="Arial" w:eastAsiaTheme="minorEastAsia" w:hAnsi="Arial" w:cs="Arial"/>
          <w:sz w:val="24"/>
          <w:szCs w:val="24"/>
        </w:rPr>
      </w:pPr>
    </w:p>
    <w:p w14:paraId="4276F9DC" w14:textId="77777777" w:rsidR="00931D8C" w:rsidRPr="0084402E" w:rsidRDefault="00931D8C" w:rsidP="00931D8C">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ARTICULO 3.- Para el cumplimiento de sus objetivos, “El Instituto” tendrá las siguientes atribuciones</w:t>
      </w:r>
      <w:r w:rsidR="00051133" w:rsidRPr="0084402E">
        <w:rPr>
          <w:rStyle w:val="Refdenotaalpie"/>
          <w:rFonts w:ascii="Arial" w:eastAsiaTheme="minorEastAsia" w:hAnsi="Arial" w:cs="Arial"/>
          <w:sz w:val="24"/>
          <w:szCs w:val="24"/>
        </w:rPr>
        <w:footnoteReference w:id="3"/>
      </w:r>
      <w:r w:rsidRPr="0084402E">
        <w:rPr>
          <w:rFonts w:ascii="Arial" w:eastAsiaTheme="minorEastAsia" w:hAnsi="Arial" w:cs="Arial"/>
          <w:sz w:val="24"/>
          <w:szCs w:val="24"/>
        </w:rPr>
        <w:t>:</w:t>
      </w:r>
    </w:p>
    <w:p w14:paraId="695C525F" w14:textId="77777777" w:rsidR="00931D8C" w:rsidRPr="0084402E" w:rsidRDefault="00931D8C" w:rsidP="00931D8C">
      <w:pPr>
        <w:pStyle w:val="Prrafodelista"/>
        <w:numPr>
          <w:ilvl w:val="0"/>
          <w:numId w:val="20"/>
        </w:num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Promover, organizar, ofrecer e impartir educación básica para adultos; </w:t>
      </w:r>
    </w:p>
    <w:p w14:paraId="15D10478" w14:textId="77777777" w:rsidR="00931D8C" w:rsidRPr="0084402E" w:rsidRDefault="00931D8C" w:rsidP="00931D8C">
      <w:pPr>
        <w:pStyle w:val="Prrafodelista"/>
        <w:numPr>
          <w:ilvl w:val="0"/>
          <w:numId w:val="20"/>
        </w:num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Regular el desarrollo de las funciones sustantivas y de apoyo a cargo de los órganos institucionales. </w:t>
      </w:r>
    </w:p>
    <w:p w14:paraId="0EA53009" w14:textId="77777777" w:rsidR="00931D8C" w:rsidRPr="0084402E" w:rsidRDefault="00931D8C" w:rsidP="00931D8C">
      <w:pPr>
        <w:pStyle w:val="Prrafodelista"/>
        <w:numPr>
          <w:ilvl w:val="0"/>
          <w:numId w:val="20"/>
        </w:num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Crear conciencia sobre la problemática relacionada con el rezago educativo existente en la población adulta, así como fomentar y realizar investigaciones y estudios respecto de esta prioridad nacional y estatal, a fin de adoptar las técnicas adecuadas para motivar y propiciar la acción comunitaria. </w:t>
      </w:r>
    </w:p>
    <w:p w14:paraId="723084D6" w14:textId="64EB92C3" w:rsidR="00B115BD" w:rsidRPr="0084402E" w:rsidRDefault="00931D8C" w:rsidP="00931D8C">
      <w:pPr>
        <w:pStyle w:val="Prrafodelista"/>
        <w:numPr>
          <w:ilvl w:val="0"/>
          <w:numId w:val="20"/>
        </w:num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Elaborar, reproducir y dis</w:t>
      </w:r>
      <w:r w:rsidR="00F27E45" w:rsidRPr="0084402E">
        <w:rPr>
          <w:rFonts w:ascii="Arial" w:eastAsiaTheme="minorEastAsia" w:hAnsi="Arial" w:cs="Arial"/>
          <w:sz w:val="24"/>
          <w:szCs w:val="24"/>
        </w:rPr>
        <w:t>tribuir en el e</w:t>
      </w:r>
      <w:r w:rsidRPr="0084402E">
        <w:rPr>
          <w:rFonts w:ascii="Arial" w:eastAsiaTheme="minorEastAsia" w:hAnsi="Arial" w:cs="Arial"/>
          <w:sz w:val="24"/>
          <w:szCs w:val="24"/>
        </w:rPr>
        <w:t>stado, materiales didácticos aplicables en la educación para adultos. </w:t>
      </w:r>
    </w:p>
    <w:p w14:paraId="4A64EF17" w14:textId="77777777" w:rsidR="00B115BD" w:rsidRPr="0084402E" w:rsidRDefault="00931D8C" w:rsidP="00931D8C">
      <w:pPr>
        <w:pStyle w:val="Prrafodelista"/>
        <w:numPr>
          <w:ilvl w:val="0"/>
          <w:numId w:val="20"/>
        </w:num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Prestar servicios de formación, actualización y capacitación del personal que requieran los servicios de educación para adultos.</w:t>
      </w:r>
      <w:r w:rsidR="00B115BD" w:rsidRPr="0084402E">
        <w:rPr>
          <w:rFonts w:ascii="Arial" w:eastAsiaTheme="minorEastAsia" w:hAnsi="Arial" w:cs="Arial"/>
          <w:sz w:val="24"/>
          <w:szCs w:val="24"/>
        </w:rPr>
        <w:t xml:space="preserve"> </w:t>
      </w:r>
    </w:p>
    <w:p w14:paraId="1D352E2F" w14:textId="77777777" w:rsidR="00B115BD" w:rsidRPr="0084402E" w:rsidRDefault="00B115BD" w:rsidP="00931D8C">
      <w:pPr>
        <w:pStyle w:val="Prrafodelista"/>
        <w:numPr>
          <w:ilvl w:val="0"/>
          <w:numId w:val="20"/>
        </w:numPr>
        <w:spacing w:after="0" w:line="360" w:lineRule="auto"/>
        <w:jc w:val="both"/>
        <w:rPr>
          <w:rFonts w:ascii="Arial" w:eastAsiaTheme="minorEastAsia" w:hAnsi="Arial" w:cs="Arial"/>
          <w:sz w:val="24"/>
          <w:szCs w:val="24"/>
        </w:rPr>
      </w:pPr>
      <w:r w:rsidRPr="0029523E">
        <w:rPr>
          <w:rFonts w:ascii="Arial" w:eastAsiaTheme="minorEastAsia" w:hAnsi="Arial" w:cs="Arial"/>
          <w:sz w:val="24"/>
          <w:szCs w:val="24"/>
        </w:rPr>
        <w:t xml:space="preserve">Coadyuvar a la extensión de los servicios de educación comunitaria destinada a los adultos, en los niveles de educación básica y en la difusión cultural. </w:t>
      </w:r>
    </w:p>
    <w:p w14:paraId="1C3978F9" w14:textId="521F5FBD" w:rsidR="00B115BD" w:rsidRPr="0084402E" w:rsidRDefault="00B115BD" w:rsidP="00931D8C">
      <w:pPr>
        <w:pStyle w:val="Prrafodelista"/>
        <w:numPr>
          <w:ilvl w:val="0"/>
          <w:numId w:val="20"/>
        </w:numPr>
        <w:spacing w:after="0" w:line="360" w:lineRule="auto"/>
        <w:jc w:val="both"/>
        <w:rPr>
          <w:rFonts w:ascii="Arial" w:eastAsiaTheme="minorEastAsia" w:hAnsi="Arial" w:cs="Arial"/>
          <w:sz w:val="24"/>
          <w:szCs w:val="24"/>
        </w:rPr>
      </w:pPr>
      <w:r w:rsidRPr="0029523E">
        <w:rPr>
          <w:rFonts w:ascii="Arial" w:eastAsiaTheme="minorEastAsia" w:hAnsi="Arial" w:cs="Arial"/>
          <w:sz w:val="24"/>
          <w:szCs w:val="24"/>
        </w:rPr>
        <w:t>Establecer coordinaciones en</w:t>
      </w:r>
      <w:r w:rsidR="00F27E45" w:rsidRPr="0029523E">
        <w:rPr>
          <w:rFonts w:ascii="Arial" w:eastAsiaTheme="minorEastAsia" w:hAnsi="Arial" w:cs="Arial"/>
          <w:sz w:val="24"/>
          <w:szCs w:val="24"/>
        </w:rPr>
        <w:t xml:space="preserve"> los municipios y regiones del e</w:t>
      </w:r>
      <w:r w:rsidRPr="0029523E">
        <w:rPr>
          <w:rFonts w:ascii="Arial" w:eastAsiaTheme="minorEastAsia" w:hAnsi="Arial" w:cs="Arial"/>
          <w:sz w:val="24"/>
          <w:szCs w:val="24"/>
        </w:rPr>
        <w:t xml:space="preserve">stado, cuando lo considere necesario. </w:t>
      </w:r>
    </w:p>
    <w:p w14:paraId="63E2AF43" w14:textId="77777777" w:rsidR="00B115BD" w:rsidRPr="0084402E" w:rsidRDefault="00B115BD" w:rsidP="00931D8C">
      <w:pPr>
        <w:pStyle w:val="Prrafodelista"/>
        <w:numPr>
          <w:ilvl w:val="0"/>
          <w:numId w:val="20"/>
        </w:numPr>
        <w:spacing w:after="0" w:line="360" w:lineRule="auto"/>
        <w:jc w:val="both"/>
        <w:rPr>
          <w:rFonts w:ascii="Arial" w:eastAsiaTheme="minorEastAsia" w:hAnsi="Arial" w:cs="Arial"/>
          <w:sz w:val="24"/>
          <w:szCs w:val="24"/>
        </w:rPr>
      </w:pPr>
      <w:r w:rsidRPr="0029523E">
        <w:rPr>
          <w:rFonts w:ascii="Arial" w:eastAsiaTheme="minorEastAsia" w:hAnsi="Arial" w:cs="Arial"/>
          <w:sz w:val="24"/>
          <w:szCs w:val="24"/>
        </w:rPr>
        <w:lastRenderedPageBreak/>
        <w:t xml:space="preserve">Expedir constancias y certificados que acrediten el nivel educativo que se imparta en “El Instituto”, conforme a los programas de estudio, normatividad y procedimientos vigentes en el Instituto Nacional para la Educación de los Adultos. </w:t>
      </w:r>
    </w:p>
    <w:p w14:paraId="0A6A9022" w14:textId="77777777" w:rsidR="00B115BD" w:rsidRPr="0084402E" w:rsidRDefault="00B115BD" w:rsidP="00931D8C">
      <w:pPr>
        <w:pStyle w:val="Prrafodelista"/>
        <w:numPr>
          <w:ilvl w:val="0"/>
          <w:numId w:val="20"/>
        </w:numPr>
        <w:spacing w:after="0" w:line="360" w:lineRule="auto"/>
        <w:jc w:val="both"/>
        <w:rPr>
          <w:rFonts w:ascii="Arial" w:eastAsiaTheme="minorEastAsia" w:hAnsi="Arial" w:cs="Arial"/>
          <w:sz w:val="24"/>
          <w:szCs w:val="24"/>
        </w:rPr>
      </w:pPr>
      <w:r w:rsidRPr="0029523E">
        <w:rPr>
          <w:rFonts w:ascii="Arial" w:eastAsiaTheme="minorEastAsia" w:hAnsi="Arial" w:cs="Arial"/>
          <w:sz w:val="24"/>
          <w:szCs w:val="24"/>
        </w:rPr>
        <w:t xml:space="preserve">Auspiciar y organizar el servicio social educativo y fomentar la participación voluntaria de los estudiantes en los programas de educación para adultos. </w:t>
      </w:r>
    </w:p>
    <w:p w14:paraId="35282651" w14:textId="77777777" w:rsidR="00B115BD" w:rsidRPr="0084402E" w:rsidRDefault="00B115BD" w:rsidP="00931D8C">
      <w:pPr>
        <w:pStyle w:val="Prrafodelista"/>
        <w:numPr>
          <w:ilvl w:val="0"/>
          <w:numId w:val="20"/>
        </w:numPr>
        <w:spacing w:after="0" w:line="360" w:lineRule="auto"/>
        <w:jc w:val="both"/>
        <w:rPr>
          <w:rFonts w:ascii="Arial" w:eastAsiaTheme="minorEastAsia" w:hAnsi="Arial" w:cs="Arial"/>
          <w:sz w:val="24"/>
          <w:szCs w:val="24"/>
        </w:rPr>
      </w:pPr>
      <w:r w:rsidRPr="0029523E">
        <w:rPr>
          <w:rFonts w:ascii="Arial" w:eastAsiaTheme="minorEastAsia" w:hAnsi="Arial" w:cs="Arial"/>
          <w:sz w:val="24"/>
          <w:szCs w:val="24"/>
        </w:rPr>
        <w:t xml:space="preserve">Coordinar sus actividades con instituciones que ofrezcan servicios educativos similares o complementarios. </w:t>
      </w:r>
    </w:p>
    <w:p w14:paraId="6052D395" w14:textId="77777777" w:rsidR="00B115BD" w:rsidRPr="0084402E" w:rsidRDefault="00B115BD" w:rsidP="00931D8C">
      <w:pPr>
        <w:pStyle w:val="Prrafodelista"/>
        <w:numPr>
          <w:ilvl w:val="0"/>
          <w:numId w:val="20"/>
        </w:numPr>
        <w:spacing w:after="0" w:line="360" w:lineRule="auto"/>
        <w:jc w:val="both"/>
        <w:rPr>
          <w:rFonts w:ascii="Arial" w:eastAsiaTheme="minorEastAsia" w:hAnsi="Arial" w:cs="Arial"/>
          <w:sz w:val="24"/>
          <w:szCs w:val="24"/>
        </w:rPr>
      </w:pPr>
      <w:r w:rsidRPr="0029523E">
        <w:rPr>
          <w:rFonts w:ascii="Arial" w:eastAsiaTheme="minorEastAsia" w:hAnsi="Arial" w:cs="Arial"/>
          <w:sz w:val="24"/>
          <w:szCs w:val="24"/>
        </w:rPr>
        <w:t xml:space="preserve">Participar, coordinándose y apoyándose, con el actual Patronato Pro Educación de los Adultos en el Estado de Yucatán, Asociación Civil, para el desarrollo de las tareas educativas de “El Instituto”. </w:t>
      </w:r>
    </w:p>
    <w:p w14:paraId="648BD305" w14:textId="77777777" w:rsidR="00B115BD" w:rsidRPr="0084402E" w:rsidRDefault="00B115BD" w:rsidP="00931D8C">
      <w:pPr>
        <w:pStyle w:val="Prrafodelista"/>
        <w:numPr>
          <w:ilvl w:val="0"/>
          <w:numId w:val="20"/>
        </w:numPr>
        <w:spacing w:after="0" w:line="360" w:lineRule="auto"/>
        <w:jc w:val="both"/>
        <w:rPr>
          <w:rFonts w:ascii="Arial" w:eastAsiaTheme="minorEastAsia" w:hAnsi="Arial" w:cs="Arial"/>
          <w:sz w:val="24"/>
          <w:szCs w:val="24"/>
        </w:rPr>
      </w:pPr>
      <w:r w:rsidRPr="0029523E">
        <w:rPr>
          <w:rFonts w:ascii="Arial" w:eastAsiaTheme="minorEastAsia" w:hAnsi="Arial" w:cs="Arial"/>
          <w:sz w:val="24"/>
          <w:szCs w:val="24"/>
        </w:rPr>
        <w:t xml:space="preserve">Patrocinar la edición de obras y realizar actividades de difusión cultural, que complementen y apoyen sus programas. </w:t>
      </w:r>
    </w:p>
    <w:p w14:paraId="632B4320" w14:textId="77777777" w:rsidR="00B115BD" w:rsidRPr="0084402E" w:rsidRDefault="00B115BD" w:rsidP="00931D8C">
      <w:pPr>
        <w:pStyle w:val="Prrafodelista"/>
        <w:numPr>
          <w:ilvl w:val="0"/>
          <w:numId w:val="20"/>
        </w:numPr>
        <w:spacing w:after="0" w:line="360" w:lineRule="auto"/>
        <w:jc w:val="both"/>
        <w:rPr>
          <w:rFonts w:ascii="Arial" w:eastAsiaTheme="minorEastAsia" w:hAnsi="Arial" w:cs="Arial"/>
          <w:sz w:val="24"/>
          <w:szCs w:val="24"/>
        </w:rPr>
      </w:pPr>
      <w:r w:rsidRPr="0029523E">
        <w:rPr>
          <w:rFonts w:ascii="Arial" w:eastAsiaTheme="minorEastAsia" w:hAnsi="Arial" w:cs="Arial"/>
          <w:sz w:val="24"/>
          <w:szCs w:val="24"/>
        </w:rPr>
        <w:t xml:space="preserve">Difundir a través de los medios de comunicación masiva, la extensión de los servicios educativos que preste y los programas que desarrolle, así como proporcionar orientación e información al público para el mejor conocimiento de sus actividades. </w:t>
      </w:r>
    </w:p>
    <w:p w14:paraId="0DBB1A70" w14:textId="77777777" w:rsidR="00B115BD" w:rsidRPr="0084402E" w:rsidRDefault="00B115BD" w:rsidP="00931D8C">
      <w:pPr>
        <w:pStyle w:val="Prrafodelista"/>
        <w:numPr>
          <w:ilvl w:val="0"/>
          <w:numId w:val="20"/>
        </w:numPr>
        <w:spacing w:after="0" w:line="360" w:lineRule="auto"/>
        <w:jc w:val="both"/>
        <w:rPr>
          <w:rFonts w:ascii="Arial" w:eastAsiaTheme="minorEastAsia" w:hAnsi="Arial" w:cs="Arial"/>
          <w:sz w:val="24"/>
          <w:szCs w:val="24"/>
        </w:rPr>
      </w:pPr>
      <w:r w:rsidRPr="0029523E">
        <w:rPr>
          <w:rFonts w:ascii="Arial" w:eastAsiaTheme="minorEastAsia" w:hAnsi="Arial" w:cs="Arial"/>
          <w:sz w:val="24"/>
          <w:szCs w:val="24"/>
        </w:rPr>
        <w:t xml:space="preserve">Patrocinar y organizar la realización de reuniones, seminarios y otros eventos de orientación, capacitación y actualización del marco jurídico-administrativo que rige en materia de educación para adultos, como parte del sistema educativo nacional. </w:t>
      </w:r>
    </w:p>
    <w:p w14:paraId="5DF1FF2C" w14:textId="77777777" w:rsidR="00B115BD" w:rsidRPr="0084402E" w:rsidRDefault="00B115BD" w:rsidP="00931D8C">
      <w:pPr>
        <w:pStyle w:val="Prrafodelista"/>
        <w:numPr>
          <w:ilvl w:val="0"/>
          <w:numId w:val="20"/>
        </w:numPr>
        <w:spacing w:after="0" w:line="360" w:lineRule="auto"/>
        <w:jc w:val="both"/>
        <w:rPr>
          <w:rFonts w:ascii="Arial" w:eastAsiaTheme="minorEastAsia" w:hAnsi="Arial" w:cs="Arial"/>
          <w:sz w:val="24"/>
          <w:szCs w:val="24"/>
        </w:rPr>
      </w:pPr>
      <w:r w:rsidRPr="0029523E">
        <w:rPr>
          <w:rFonts w:ascii="Arial" w:eastAsiaTheme="minorEastAsia" w:hAnsi="Arial" w:cs="Arial"/>
          <w:sz w:val="24"/>
          <w:szCs w:val="24"/>
        </w:rPr>
        <w:t xml:space="preserve">Otorgar reconocimientos a los agentes operativos solidarios, que se distingan por los eficientes servicios de apoyo a la educación para adultos. </w:t>
      </w:r>
    </w:p>
    <w:p w14:paraId="27D71593" w14:textId="77777777" w:rsidR="00B115BD" w:rsidRPr="0084402E" w:rsidRDefault="00B115BD" w:rsidP="00931D8C">
      <w:pPr>
        <w:pStyle w:val="Prrafodelista"/>
        <w:numPr>
          <w:ilvl w:val="0"/>
          <w:numId w:val="20"/>
        </w:numPr>
        <w:spacing w:after="0" w:line="360" w:lineRule="auto"/>
        <w:jc w:val="both"/>
        <w:rPr>
          <w:rFonts w:ascii="Arial" w:eastAsiaTheme="minorEastAsia" w:hAnsi="Arial" w:cs="Arial"/>
          <w:sz w:val="24"/>
          <w:szCs w:val="24"/>
        </w:rPr>
      </w:pPr>
      <w:r w:rsidRPr="0029523E">
        <w:rPr>
          <w:rFonts w:ascii="Arial" w:eastAsiaTheme="minorEastAsia" w:hAnsi="Arial" w:cs="Arial"/>
          <w:sz w:val="24"/>
          <w:szCs w:val="24"/>
        </w:rPr>
        <w:t xml:space="preserve">Fungir como cuerpo consultivo, en la materia educativa de su competencia. </w:t>
      </w:r>
    </w:p>
    <w:p w14:paraId="01637309" w14:textId="77777777" w:rsidR="00B115BD" w:rsidRPr="0084402E" w:rsidRDefault="00B115BD" w:rsidP="00931D8C">
      <w:pPr>
        <w:pStyle w:val="Prrafodelista"/>
        <w:numPr>
          <w:ilvl w:val="0"/>
          <w:numId w:val="20"/>
        </w:numPr>
        <w:spacing w:after="0" w:line="360" w:lineRule="auto"/>
        <w:jc w:val="both"/>
        <w:rPr>
          <w:rFonts w:ascii="Arial" w:eastAsiaTheme="minorEastAsia" w:hAnsi="Arial" w:cs="Arial"/>
          <w:sz w:val="24"/>
          <w:szCs w:val="24"/>
        </w:rPr>
      </w:pPr>
      <w:r w:rsidRPr="0029523E">
        <w:rPr>
          <w:rFonts w:ascii="Arial" w:eastAsiaTheme="minorEastAsia" w:hAnsi="Arial" w:cs="Arial"/>
          <w:sz w:val="24"/>
          <w:szCs w:val="24"/>
        </w:rPr>
        <w:t>Las demás que se requieran para cumplir con el objetivo de “El Instituto”, y las que se deriven del presente decreto.</w:t>
      </w:r>
    </w:p>
    <w:p w14:paraId="5F40D072" w14:textId="77777777" w:rsidR="00A61E93" w:rsidRPr="0084402E" w:rsidRDefault="00A61E93" w:rsidP="00931D8C">
      <w:pPr>
        <w:pStyle w:val="Prrafodelista"/>
        <w:numPr>
          <w:ilvl w:val="0"/>
          <w:numId w:val="20"/>
        </w:num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br w:type="page"/>
      </w:r>
    </w:p>
    <w:p w14:paraId="54899DC0" w14:textId="77777777" w:rsidR="00C671F3" w:rsidRPr="0084402E" w:rsidRDefault="00C671F3" w:rsidP="002D4695">
      <w:pPr>
        <w:spacing w:after="0" w:line="360" w:lineRule="auto"/>
        <w:ind w:left="284"/>
        <w:jc w:val="both"/>
        <w:rPr>
          <w:rFonts w:ascii="Arial" w:eastAsiaTheme="minorEastAsia" w:hAnsi="Arial" w:cs="Arial"/>
          <w:b/>
          <w:sz w:val="24"/>
          <w:szCs w:val="24"/>
        </w:rPr>
      </w:pPr>
      <w:r w:rsidRPr="0084402E">
        <w:rPr>
          <w:rFonts w:ascii="Arial" w:eastAsiaTheme="minorEastAsia" w:hAnsi="Arial" w:cs="Arial"/>
          <w:b/>
          <w:sz w:val="24"/>
          <w:szCs w:val="24"/>
        </w:rPr>
        <w:lastRenderedPageBreak/>
        <w:t>12. ¿Se identifica alguna complementariedad o sinergia con algún Programa Federal o Estatal?</w:t>
      </w:r>
    </w:p>
    <w:p w14:paraId="3E75A91D" w14:textId="37FF6AF9" w:rsidR="00193B81" w:rsidRPr="0084402E" w:rsidRDefault="00193B81" w:rsidP="00193B81">
      <w:pPr>
        <w:spacing w:after="100" w:afterAutospacing="1" w:line="360" w:lineRule="auto"/>
        <w:contextualSpacing/>
        <w:jc w:val="both"/>
        <w:rPr>
          <w:rFonts w:ascii="Arial" w:eastAsiaTheme="minorEastAsia" w:hAnsi="Arial" w:cs="Arial"/>
          <w:b/>
          <w:sz w:val="24"/>
          <w:szCs w:val="24"/>
        </w:rPr>
      </w:pPr>
      <w:r w:rsidRPr="0084402E">
        <w:rPr>
          <w:rFonts w:ascii="Arial" w:eastAsiaTheme="minorEastAsia" w:hAnsi="Arial" w:cs="Arial"/>
          <w:b/>
          <w:sz w:val="24"/>
          <w:szCs w:val="24"/>
        </w:rPr>
        <w:t>RESPUESTA:</w:t>
      </w:r>
      <w:r w:rsidR="004E16B3" w:rsidRPr="0084402E">
        <w:rPr>
          <w:rFonts w:ascii="Arial" w:eastAsiaTheme="minorEastAsia" w:hAnsi="Arial" w:cs="Arial"/>
          <w:b/>
          <w:sz w:val="24"/>
          <w:szCs w:val="24"/>
        </w:rPr>
        <w:t xml:space="preserve"> </w:t>
      </w:r>
      <w:r w:rsidR="00F27E45" w:rsidRPr="0084402E">
        <w:rPr>
          <w:rFonts w:ascii="Arial" w:eastAsiaTheme="minorEastAsia" w:hAnsi="Arial" w:cs="Arial"/>
          <w:b/>
          <w:sz w:val="24"/>
          <w:szCs w:val="24"/>
        </w:rPr>
        <w:t>Sí</w:t>
      </w:r>
    </w:p>
    <w:p w14:paraId="42E5999F" w14:textId="77777777" w:rsidR="00576178" w:rsidRPr="0084402E" w:rsidRDefault="00576178" w:rsidP="004C0514">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De acuerdo con lo establecido en las Reglas de Operación 2014, de conformidad con lo dispuesto en el artículo 179 del Reglamento de la Ley Federal de Presupuesto y Responsabilidad Hacendaria se verificó que no hay contraposición, afectación o duplicidad con otros programas y acciones del Gobierno Federal en cuanto al diseño, beneficios, apoyos otorgados y población objetivo.</w:t>
      </w:r>
    </w:p>
    <w:p w14:paraId="7D434BAA" w14:textId="295CB908" w:rsidR="00576178" w:rsidRPr="0084402E" w:rsidRDefault="007C2E30" w:rsidP="004C0514">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Los programas para la atención a la demanda de educación para adultos </w:t>
      </w:r>
      <w:r w:rsidR="003D13E6" w:rsidRPr="0084402E">
        <w:rPr>
          <w:rFonts w:ascii="Arial" w:eastAsiaTheme="minorEastAsia" w:hAnsi="Arial" w:cs="Arial"/>
          <w:sz w:val="24"/>
          <w:szCs w:val="24"/>
        </w:rPr>
        <w:t>tienen su com</w:t>
      </w:r>
      <w:r w:rsidR="006E65DD" w:rsidRPr="0084402E">
        <w:rPr>
          <w:rFonts w:ascii="Arial" w:eastAsiaTheme="minorEastAsia" w:hAnsi="Arial" w:cs="Arial"/>
          <w:sz w:val="24"/>
          <w:szCs w:val="24"/>
        </w:rPr>
        <w:t>plemento en una estrategia imp</w:t>
      </w:r>
      <w:r w:rsidR="00F27E45" w:rsidRPr="0084402E">
        <w:rPr>
          <w:rFonts w:ascii="Arial" w:eastAsiaTheme="minorEastAsia" w:hAnsi="Arial" w:cs="Arial"/>
          <w:sz w:val="24"/>
          <w:szCs w:val="24"/>
        </w:rPr>
        <w:t>ulsada por el Gobierno F</w:t>
      </w:r>
      <w:r w:rsidR="00FD2362" w:rsidRPr="0084402E">
        <w:rPr>
          <w:rFonts w:ascii="Arial" w:eastAsiaTheme="minorEastAsia" w:hAnsi="Arial" w:cs="Arial"/>
          <w:sz w:val="24"/>
          <w:szCs w:val="24"/>
        </w:rPr>
        <w:t>ederal e im</w:t>
      </w:r>
      <w:r w:rsidR="00193B81" w:rsidRPr="0084402E">
        <w:rPr>
          <w:rFonts w:ascii="Arial" w:eastAsiaTheme="minorEastAsia" w:hAnsi="Arial" w:cs="Arial"/>
          <w:sz w:val="24"/>
          <w:szCs w:val="24"/>
        </w:rPr>
        <w:t>plementada en las entidades fede</w:t>
      </w:r>
      <w:r w:rsidR="00FD2362" w:rsidRPr="0084402E">
        <w:rPr>
          <w:rFonts w:ascii="Arial" w:eastAsiaTheme="minorEastAsia" w:hAnsi="Arial" w:cs="Arial"/>
          <w:sz w:val="24"/>
          <w:szCs w:val="24"/>
        </w:rPr>
        <w:t>r</w:t>
      </w:r>
      <w:r w:rsidR="00193B81" w:rsidRPr="0084402E">
        <w:rPr>
          <w:rFonts w:ascii="Arial" w:eastAsiaTheme="minorEastAsia" w:hAnsi="Arial" w:cs="Arial"/>
          <w:sz w:val="24"/>
          <w:szCs w:val="24"/>
        </w:rPr>
        <w:t>at</w:t>
      </w:r>
      <w:r w:rsidR="00FD2362" w:rsidRPr="0084402E">
        <w:rPr>
          <w:rFonts w:ascii="Arial" w:eastAsiaTheme="minorEastAsia" w:hAnsi="Arial" w:cs="Arial"/>
          <w:sz w:val="24"/>
          <w:szCs w:val="24"/>
        </w:rPr>
        <w:t>ivas</w:t>
      </w:r>
      <w:r w:rsidR="006E65DD" w:rsidRPr="0084402E">
        <w:rPr>
          <w:rFonts w:ascii="Arial" w:eastAsiaTheme="minorEastAsia" w:hAnsi="Arial" w:cs="Arial"/>
          <w:sz w:val="24"/>
          <w:szCs w:val="24"/>
        </w:rPr>
        <w:t xml:space="preserve"> para evitar </w:t>
      </w:r>
      <w:r w:rsidR="00F808A0" w:rsidRPr="0084402E">
        <w:rPr>
          <w:rFonts w:ascii="Arial" w:eastAsiaTheme="minorEastAsia" w:hAnsi="Arial" w:cs="Arial"/>
          <w:sz w:val="24"/>
          <w:szCs w:val="24"/>
        </w:rPr>
        <w:t xml:space="preserve">que el rezago educativo </w:t>
      </w:r>
      <w:r w:rsidR="009E66A6" w:rsidRPr="0084402E">
        <w:rPr>
          <w:rFonts w:ascii="Arial" w:eastAsiaTheme="minorEastAsia" w:hAnsi="Arial" w:cs="Arial"/>
          <w:sz w:val="24"/>
          <w:szCs w:val="24"/>
        </w:rPr>
        <w:t xml:space="preserve">no </w:t>
      </w:r>
      <w:r w:rsidR="00F808A0" w:rsidRPr="0084402E">
        <w:rPr>
          <w:rFonts w:ascii="Arial" w:eastAsiaTheme="minorEastAsia" w:hAnsi="Arial" w:cs="Arial"/>
          <w:sz w:val="24"/>
          <w:szCs w:val="24"/>
        </w:rPr>
        <w:t xml:space="preserve">aumente </w:t>
      </w:r>
      <w:r w:rsidR="009E66A6" w:rsidRPr="0084402E">
        <w:rPr>
          <w:rFonts w:ascii="Arial" w:eastAsiaTheme="minorEastAsia" w:hAnsi="Arial" w:cs="Arial"/>
          <w:sz w:val="24"/>
          <w:szCs w:val="24"/>
        </w:rPr>
        <w:t>que se denomina</w:t>
      </w:r>
      <w:r w:rsidR="00F808A0" w:rsidRPr="0084402E">
        <w:rPr>
          <w:rFonts w:ascii="Arial" w:eastAsiaTheme="minorEastAsia" w:hAnsi="Arial" w:cs="Arial"/>
          <w:sz w:val="24"/>
          <w:szCs w:val="24"/>
        </w:rPr>
        <w:t xml:space="preserve"> "Programa para Abatir el Rezago en Educación Inicial y Básica (PAREIB)</w:t>
      </w:r>
      <w:r w:rsidR="009E66A6" w:rsidRPr="0084402E">
        <w:rPr>
          <w:rFonts w:ascii="Arial" w:eastAsiaTheme="minorEastAsia" w:hAnsi="Arial" w:cs="Arial"/>
          <w:sz w:val="24"/>
          <w:szCs w:val="24"/>
        </w:rPr>
        <w:t xml:space="preserve"> y cuyos objetivos son:</w:t>
      </w:r>
    </w:p>
    <w:p w14:paraId="19BAAFF9" w14:textId="77777777" w:rsidR="009E66A6" w:rsidRPr="0084402E" w:rsidRDefault="009E66A6" w:rsidP="009E66A6">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Propiciar mejoras de calidad en la educación inicial, preescolar y básica.</w:t>
      </w:r>
    </w:p>
    <w:p w14:paraId="29FD96A2" w14:textId="77777777" w:rsidR="009E66A6" w:rsidRPr="0084402E" w:rsidRDefault="009E66A6" w:rsidP="009E66A6">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 Establecer, instrumentar, implantar y perfeccionar la estrategia de la administración escolar, permitiendo un proceso de descentralización educativa para el progreso de la administración, en los ámbitos federal, estatal y municipal.</w:t>
      </w:r>
    </w:p>
    <w:p w14:paraId="0088A104" w14:textId="77777777" w:rsidR="009E66A6" w:rsidRPr="0084402E" w:rsidRDefault="009E66A6" w:rsidP="009E66A6">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 Designar y conducir nuevas modalidades en la educación, para cumplir con las necesidades de niños migrantes con edades entre 9 y 14 años en áreas marginadas urbanas, y niños indígenas y discapacitados en escuelas primarias.</w:t>
      </w:r>
    </w:p>
    <w:p w14:paraId="1495D9F7" w14:textId="77777777" w:rsidR="009E66A6" w:rsidRPr="0084402E" w:rsidRDefault="009E66A6" w:rsidP="009E66A6">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 Promover la participación de las autoridades educativas y de la comunidad en el diseño de los proyectos escolares, orientados a resolver problemas educativos particulares que sean reconocidos por la población escolar y que involucre un cambio significativo en la forma de aprendizaje, así como en la flexibilidad del calendario escolar.</w:t>
      </w:r>
    </w:p>
    <w:p w14:paraId="53D7A575" w14:textId="77777777" w:rsidR="00F808A0" w:rsidRPr="0084402E" w:rsidRDefault="009E66A6" w:rsidP="004C0514">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lastRenderedPageBreak/>
        <w:t>Dentro de esta estrategia opera el Programa de Educación Inicial y Básica para la Población Rural Indígena</w:t>
      </w:r>
      <w:r w:rsidR="00C02510" w:rsidRPr="0084402E">
        <w:rPr>
          <w:rFonts w:ascii="Arial" w:eastAsiaTheme="minorEastAsia" w:hAnsi="Arial" w:cs="Arial"/>
          <w:sz w:val="24"/>
          <w:szCs w:val="24"/>
        </w:rPr>
        <w:t xml:space="preserve"> cuyo</w:t>
      </w:r>
      <w:r w:rsidR="009E52DA" w:rsidRPr="0084402E">
        <w:rPr>
          <w:rFonts w:ascii="Arial" w:eastAsiaTheme="minorEastAsia" w:hAnsi="Arial" w:cs="Arial"/>
          <w:sz w:val="24"/>
          <w:szCs w:val="24"/>
        </w:rPr>
        <w:t>s</w:t>
      </w:r>
      <w:r w:rsidR="00C02510" w:rsidRPr="0084402E">
        <w:rPr>
          <w:rFonts w:ascii="Arial" w:eastAsiaTheme="minorEastAsia" w:hAnsi="Arial" w:cs="Arial"/>
          <w:sz w:val="24"/>
          <w:szCs w:val="24"/>
        </w:rPr>
        <w:t xml:space="preserve"> objetivos son:</w:t>
      </w:r>
    </w:p>
    <w:p w14:paraId="12F35ED9" w14:textId="77777777" w:rsidR="00C02510" w:rsidRPr="0084402E" w:rsidRDefault="00C02510" w:rsidP="00C02510">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 Propiciar mejoras de calidad en la educación inicial, preescolar y básica.</w:t>
      </w:r>
    </w:p>
    <w:p w14:paraId="1D8A64D4" w14:textId="77777777" w:rsidR="00C02510" w:rsidRPr="0084402E" w:rsidRDefault="00C02510" w:rsidP="00C02510">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 Establecer, instrumentar, implantar y perfeccionar la estrategia de la administración escolar, permitiendo un proceso de descentralización educativa para el progreso de la administración, en los ámbitos federal, estatal y municipal.</w:t>
      </w:r>
    </w:p>
    <w:p w14:paraId="614AE31E" w14:textId="77777777" w:rsidR="00C02510" w:rsidRPr="0084402E" w:rsidRDefault="00C02510" w:rsidP="00C02510">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 Designar y conducir nuevas modalidades en la educación, para cumplir con las necesidades de niños migrantes con edades entre 9 y 14 años en áreas marginadas urbanas, y niños indígenas y discapacitados en escuelas primarias.</w:t>
      </w:r>
    </w:p>
    <w:p w14:paraId="10F7E864" w14:textId="77777777" w:rsidR="00C02510" w:rsidRPr="0084402E" w:rsidRDefault="00C02510" w:rsidP="00C02510">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 Promover la participación de las autoridades educativas y de la comunidad en el diseño de los proyectos escolares, orientados a resolver problemas educativos particulares que sean reconocidos por la población escolar y que involucre un cambio significativo en la forma de aprendizaje, así como en la flexibilidad del calendario escolar.</w:t>
      </w:r>
    </w:p>
    <w:p w14:paraId="119B0CC9" w14:textId="77777777" w:rsidR="00576178" w:rsidRPr="0084402E" w:rsidRDefault="00A2119E" w:rsidP="004C0514">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Los componentes son: </w:t>
      </w:r>
    </w:p>
    <w:p w14:paraId="0446474D" w14:textId="679373D1" w:rsidR="00AF3FF5" w:rsidRPr="0084402E" w:rsidRDefault="00AF3FF5" w:rsidP="00AF3FF5">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 Capacitación a docentes y directivos</w:t>
      </w:r>
      <w:r w:rsidR="00D04D4B" w:rsidRPr="0084402E">
        <w:rPr>
          <w:rFonts w:ascii="Arial" w:eastAsiaTheme="minorEastAsia" w:hAnsi="Arial" w:cs="Arial"/>
          <w:sz w:val="24"/>
          <w:szCs w:val="24"/>
        </w:rPr>
        <w:t>.</w:t>
      </w:r>
    </w:p>
    <w:p w14:paraId="172A0501" w14:textId="1ECEFA56" w:rsidR="00AF3FF5" w:rsidRPr="0084402E" w:rsidRDefault="00AF3FF5" w:rsidP="00AF3FF5">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 Incentivos y apoyos a la supervisión escolar</w:t>
      </w:r>
      <w:r w:rsidR="00D04D4B" w:rsidRPr="0084402E">
        <w:rPr>
          <w:rFonts w:ascii="Arial" w:eastAsiaTheme="minorEastAsia" w:hAnsi="Arial" w:cs="Arial"/>
          <w:sz w:val="24"/>
          <w:szCs w:val="24"/>
        </w:rPr>
        <w:t>.</w:t>
      </w:r>
    </w:p>
    <w:p w14:paraId="420EBB66" w14:textId="05666DD1" w:rsidR="00AF3FF5" w:rsidRPr="0084402E" w:rsidRDefault="00AF3FF5" w:rsidP="00AF3FF5">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 Recursos didácticos y acervo bibliográficos</w:t>
      </w:r>
      <w:r w:rsidR="00D04D4B" w:rsidRPr="0084402E">
        <w:rPr>
          <w:rFonts w:ascii="Arial" w:eastAsiaTheme="minorEastAsia" w:hAnsi="Arial" w:cs="Arial"/>
          <w:sz w:val="24"/>
          <w:szCs w:val="24"/>
        </w:rPr>
        <w:t>.</w:t>
      </w:r>
    </w:p>
    <w:p w14:paraId="4A380F32" w14:textId="458FA3B9" w:rsidR="00AF3FF5" w:rsidRPr="0084402E" w:rsidRDefault="00AF3FF5" w:rsidP="00AF3FF5">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 Infraestructura y equipamiento educativo</w:t>
      </w:r>
      <w:r w:rsidR="00D04D4B" w:rsidRPr="0084402E">
        <w:rPr>
          <w:rFonts w:ascii="Arial" w:eastAsiaTheme="minorEastAsia" w:hAnsi="Arial" w:cs="Arial"/>
          <w:sz w:val="24"/>
          <w:szCs w:val="24"/>
        </w:rPr>
        <w:t>.</w:t>
      </w:r>
    </w:p>
    <w:p w14:paraId="63ABD484" w14:textId="3288BDE9" w:rsidR="00AF3FF5" w:rsidRPr="0084402E" w:rsidRDefault="00AF3FF5" w:rsidP="00AF3FF5">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 Fortalecimiento Institucional</w:t>
      </w:r>
      <w:r w:rsidR="00D04D4B" w:rsidRPr="0084402E">
        <w:rPr>
          <w:rFonts w:ascii="Arial" w:eastAsiaTheme="minorEastAsia" w:hAnsi="Arial" w:cs="Arial"/>
          <w:sz w:val="24"/>
          <w:szCs w:val="24"/>
        </w:rPr>
        <w:t>.</w:t>
      </w:r>
    </w:p>
    <w:p w14:paraId="0CB873D7" w14:textId="128C64ED" w:rsidR="00193B81" w:rsidRDefault="00AF3FF5" w:rsidP="003863F2">
      <w:pPr>
        <w:spacing w:after="100" w:afterAutospacing="1" w:line="360" w:lineRule="auto"/>
        <w:jc w:val="both"/>
        <w:rPr>
          <w:rFonts w:ascii="Arial" w:eastAsiaTheme="minorEastAsia" w:hAnsi="Arial" w:cs="Arial"/>
          <w:sz w:val="24"/>
          <w:szCs w:val="24"/>
        </w:rPr>
      </w:pPr>
      <w:r w:rsidRPr="0084402E">
        <w:rPr>
          <w:rFonts w:ascii="Arial" w:eastAsiaTheme="minorEastAsia" w:hAnsi="Arial" w:cs="Arial"/>
          <w:sz w:val="24"/>
          <w:szCs w:val="24"/>
        </w:rPr>
        <w:t>• Administración y finanzas</w:t>
      </w:r>
      <w:r w:rsidR="00D04D4B" w:rsidRPr="0084402E">
        <w:rPr>
          <w:rFonts w:ascii="Arial" w:eastAsiaTheme="minorEastAsia" w:hAnsi="Arial" w:cs="Arial"/>
          <w:sz w:val="24"/>
          <w:szCs w:val="24"/>
        </w:rPr>
        <w:t>.</w:t>
      </w:r>
    </w:p>
    <w:p w14:paraId="2F08989D" w14:textId="77D38192" w:rsidR="003863F2" w:rsidRDefault="003863F2">
      <w:pPr>
        <w:spacing w:after="0" w:line="240" w:lineRule="auto"/>
        <w:rPr>
          <w:rFonts w:ascii="Arial" w:eastAsiaTheme="minorEastAsia" w:hAnsi="Arial" w:cs="Arial"/>
          <w:sz w:val="24"/>
          <w:szCs w:val="24"/>
        </w:rPr>
      </w:pPr>
      <w:r>
        <w:rPr>
          <w:rFonts w:ascii="Arial" w:eastAsiaTheme="minorEastAsia" w:hAnsi="Arial" w:cs="Arial"/>
          <w:sz w:val="24"/>
          <w:szCs w:val="24"/>
        </w:rPr>
        <w:br w:type="page"/>
      </w:r>
    </w:p>
    <w:p w14:paraId="081EA345" w14:textId="77777777" w:rsidR="003863F2" w:rsidRPr="003863F2" w:rsidRDefault="003863F2" w:rsidP="003863F2">
      <w:pPr>
        <w:spacing w:after="100" w:afterAutospacing="1" w:line="360" w:lineRule="auto"/>
        <w:jc w:val="both"/>
        <w:rPr>
          <w:rFonts w:ascii="Arial" w:eastAsiaTheme="minorEastAsia" w:hAnsi="Arial" w:cs="Arial"/>
          <w:sz w:val="24"/>
          <w:szCs w:val="24"/>
        </w:rPr>
      </w:pPr>
    </w:p>
    <w:p w14:paraId="1B40AB51" w14:textId="49AB0107" w:rsidR="00C671F3" w:rsidRPr="0084402E" w:rsidRDefault="00C671F3" w:rsidP="002D4695">
      <w:pPr>
        <w:spacing w:after="0" w:line="360" w:lineRule="auto"/>
        <w:ind w:left="284"/>
        <w:jc w:val="both"/>
        <w:rPr>
          <w:rFonts w:ascii="Arial" w:eastAsiaTheme="minorEastAsia" w:hAnsi="Arial" w:cs="Arial"/>
          <w:sz w:val="24"/>
          <w:szCs w:val="24"/>
        </w:rPr>
      </w:pPr>
      <w:r w:rsidRPr="0084402E">
        <w:rPr>
          <w:rFonts w:ascii="Arial" w:eastAsiaTheme="minorEastAsia" w:hAnsi="Arial" w:cs="Arial"/>
          <w:b/>
          <w:sz w:val="24"/>
          <w:szCs w:val="24"/>
        </w:rPr>
        <w:t>13. Describir las Reglas de Operación asociadas al Programa y al Fondo</w:t>
      </w:r>
      <w:r w:rsidRPr="0084402E">
        <w:rPr>
          <w:rFonts w:ascii="Arial" w:eastAsiaTheme="minorEastAsia" w:hAnsi="Arial" w:cs="Arial"/>
          <w:sz w:val="24"/>
          <w:szCs w:val="24"/>
        </w:rPr>
        <w:t xml:space="preserve"> </w:t>
      </w:r>
    </w:p>
    <w:p w14:paraId="1AF8FC59" w14:textId="77777777" w:rsidR="002D4695" w:rsidRPr="0084402E" w:rsidRDefault="002D4695" w:rsidP="002D4695">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RESPUESTA:</w:t>
      </w:r>
    </w:p>
    <w:p w14:paraId="5CF5A577" w14:textId="77777777" w:rsidR="0091653D" w:rsidRPr="0084402E" w:rsidRDefault="00A57209" w:rsidP="002D4695">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Las Reglas de Operación del Programa Atención a la Demanda de Educación para Adultos (INEA) para el ejercicio fiscal 2014 son emitidas por la Secretaría de Educación Pública, dependencia federal a la que está sectorizado el INEA, y publicadas el 10 de abril en el DOF. </w:t>
      </w:r>
      <w:r w:rsidR="00413614" w:rsidRPr="0084402E">
        <w:rPr>
          <w:rFonts w:ascii="Arial" w:eastAsiaTheme="minorEastAsia" w:hAnsi="Arial" w:cs="Arial"/>
          <w:sz w:val="24"/>
          <w:szCs w:val="24"/>
        </w:rPr>
        <w:t>Su contenido contempla</w:t>
      </w:r>
      <w:r w:rsidR="006D1F13" w:rsidRPr="0084402E">
        <w:rPr>
          <w:rFonts w:ascii="Arial" w:eastAsiaTheme="minorEastAsia" w:hAnsi="Arial" w:cs="Arial"/>
          <w:sz w:val="24"/>
          <w:szCs w:val="24"/>
        </w:rPr>
        <w:t xml:space="preserve"> ocho puntos o apartados, y cuatro anexos. El primer punto consiste en la introducción donde se establece la justificación del programa en relación con los objetivos de los planes de desarrollo y programas del nivel federal. En el segundo punto se establecen los objetivos general y específicos. </w:t>
      </w:r>
    </w:p>
    <w:p w14:paraId="56D9BCD7" w14:textId="77777777" w:rsidR="0091653D" w:rsidRPr="0084402E" w:rsidRDefault="0091653D" w:rsidP="002D4695">
      <w:pPr>
        <w:spacing w:after="0" w:line="360" w:lineRule="auto"/>
        <w:jc w:val="both"/>
        <w:rPr>
          <w:rFonts w:ascii="Arial" w:eastAsiaTheme="minorEastAsia" w:hAnsi="Arial" w:cs="Arial"/>
          <w:sz w:val="24"/>
          <w:szCs w:val="24"/>
        </w:rPr>
      </w:pPr>
    </w:p>
    <w:p w14:paraId="7A2E728C" w14:textId="0C2AEF3C" w:rsidR="00413614" w:rsidRPr="0084402E" w:rsidRDefault="006D1F13" w:rsidP="002D4695">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El tercer punto es el relativo a los lineamientos dentro de los cuales se establecen las características de la cobertura, de la población objetivo, los beneficiarios</w:t>
      </w:r>
      <w:r w:rsidR="00C47744" w:rsidRPr="0084402E">
        <w:rPr>
          <w:rFonts w:ascii="Arial" w:eastAsiaTheme="minorEastAsia" w:hAnsi="Arial" w:cs="Arial"/>
          <w:sz w:val="24"/>
          <w:szCs w:val="24"/>
        </w:rPr>
        <w:t>, características que ya se han descrito en el apartado III Cobertura de la Atención del este informe</w:t>
      </w:r>
      <w:r w:rsidRPr="0084402E">
        <w:rPr>
          <w:rFonts w:ascii="Arial" w:eastAsiaTheme="minorEastAsia" w:hAnsi="Arial" w:cs="Arial"/>
          <w:sz w:val="24"/>
          <w:szCs w:val="24"/>
        </w:rPr>
        <w:t>. También se describen los requisitos de admisión y el procedimiento de selección. Además se establecen las características de los apoyos (tipo y monto)</w:t>
      </w:r>
      <w:r w:rsidR="00FC1626" w:rsidRPr="0084402E">
        <w:rPr>
          <w:rFonts w:ascii="Arial" w:eastAsiaTheme="minorEastAsia" w:hAnsi="Arial" w:cs="Arial"/>
          <w:sz w:val="24"/>
          <w:szCs w:val="24"/>
        </w:rPr>
        <w:t>,</w:t>
      </w:r>
      <w:r w:rsidR="00F27E45" w:rsidRPr="0084402E">
        <w:rPr>
          <w:rFonts w:ascii="Arial" w:eastAsiaTheme="minorEastAsia" w:hAnsi="Arial" w:cs="Arial"/>
          <w:sz w:val="24"/>
          <w:szCs w:val="24"/>
        </w:rPr>
        <w:t xml:space="preserve"> que</w:t>
      </w:r>
      <w:r w:rsidR="00C47744" w:rsidRPr="0084402E">
        <w:rPr>
          <w:rFonts w:ascii="Arial" w:eastAsiaTheme="minorEastAsia" w:hAnsi="Arial" w:cs="Arial"/>
          <w:sz w:val="24"/>
          <w:szCs w:val="24"/>
        </w:rPr>
        <w:t xml:space="preserve"> básicamente consisten en los servicios educati</w:t>
      </w:r>
      <w:r w:rsidR="006D1F63" w:rsidRPr="0084402E">
        <w:rPr>
          <w:rFonts w:ascii="Arial" w:eastAsiaTheme="minorEastAsia" w:hAnsi="Arial" w:cs="Arial"/>
          <w:sz w:val="24"/>
          <w:szCs w:val="24"/>
        </w:rPr>
        <w:t>vos en sus respectivas modalida</w:t>
      </w:r>
      <w:r w:rsidR="00C47744" w:rsidRPr="0084402E">
        <w:rPr>
          <w:rFonts w:ascii="Arial" w:eastAsiaTheme="minorEastAsia" w:hAnsi="Arial" w:cs="Arial"/>
          <w:sz w:val="24"/>
          <w:szCs w:val="24"/>
        </w:rPr>
        <w:t>des</w:t>
      </w:r>
      <w:r w:rsidR="00E15CC8" w:rsidRPr="0084402E">
        <w:rPr>
          <w:rFonts w:ascii="Arial" w:eastAsiaTheme="minorEastAsia" w:hAnsi="Arial" w:cs="Arial"/>
          <w:sz w:val="24"/>
          <w:szCs w:val="24"/>
        </w:rPr>
        <w:t xml:space="preserve"> alfa</w:t>
      </w:r>
      <w:r w:rsidR="006D1F63" w:rsidRPr="0084402E">
        <w:rPr>
          <w:rFonts w:ascii="Arial" w:eastAsiaTheme="minorEastAsia" w:hAnsi="Arial" w:cs="Arial"/>
          <w:sz w:val="24"/>
          <w:szCs w:val="24"/>
        </w:rPr>
        <w:t>betizaci</w:t>
      </w:r>
      <w:r w:rsidR="00E15CC8" w:rsidRPr="0084402E">
        <w:rPr>
          <w:rFonts w:ascii="Arial" w:eastAsiaTheme="minorEastAsia" w:hAnsi="Arial" w:cs="Arial"/>
          <w:sz w:val="24"/>
          <w:szCs w:val="24"/>
        </w:rPr>
        <w:t>ón, prima</w:t>
      </w:r>
      <w:r w:rsidR="006D1F63" w:rsidRPr="0084402E">
        <w:rPr>
          <w:rFonts w:ascii="Arial" w:eastAsiaTheme="minorEastAsia" w:hAnsi="Arial" w:cs="Arial"/>
          <w:sz w:val="24"/>
          <w:szCs w:val="24"/>
        </w:rPr>
        <w:t>ria y secundaria</w:t>
      </w:r>
      <w:r w:rsidR="00C47744" w:rsidRPr="0084402E">
        <w:rPr>
          <w:rFonts w:ascii="Arial" w:eastAsiaTheme="minorEastAsia" w:hAnsi="Arial" w:cs="Arial"/>
          <w:sz w:val="24"/>
          <w:szCs w:val="24"/>
        </w:rPr>
        <w:t>, la certificación de los estudios y el suministro del material didáctico necesario para el proceso de enseñanza-aprendizaje</w:t>
      </w:r>
      <w:r w:rsidR="00413614" w:rsidRPr="0084402E">
        <w:rPr>
          <w:rFonts w:ascii="Arial" w:eastAsiaTheme="minorEastAsia" w:hAnsi="Arial" w:cs="Arial"/>
          <w:sz w:val="24"/>
          <w:szCs w:val="24"/>
        </w:rPr>
        <w:t>, incluyendo su costo por alumno</w:t>
      </w:r>
      <w:r w:rsidR="006D1F63" w:rsidRPr="0084402E">
        <w:rPr>
          <w:rFonts w:ascii="Arial" w:eastAsiaTheme="minorEastAsia" w:hAnsi="Arial" w:cs="Arial"/>
          <w:sz w:val="24"/>
          <w:szCs w:val="24"/>
        </w:rPr>
        <w:t xml:space="preserve">. </w:t>
      </w:r>
    </w:p>
    <w:p w14:paraId="62ED5B05" w14:textId="77777777" w:rsidR="00413614" w:rsidRPr="0084402E" w:rsidRDefault="00413614" w:rsidP="002D4695">
      <w:pPr>
        <w:spacing w:after="0" w:line="360" w:lineRule="auto"/>
        <w:jc w:val="both"/>
        <w:rPr>
          <w:rFonts w:ascii="Arial" w:eastAsiaTheme="minorEastAsia" w:hAnsi="Arial" w:cs="Arial"/>
          <w:sz w:val="24"/>
          <w:szCs w:val="24"/>
        </w:rPr>
      </w:pPr>
    </w:p>
    <w:p w14:paraId="46C9B9E4" w14:textId="7C5E612A" w:rsidR="00413614" w:rsidRPr="0084402E" w:rsidRDefault="004660DE" w:rsidP="002D4695">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Dentro de este punto también se establecen los </w:t>
      </w:r>
      <w:r w:rsidR="00F27E45" w:rsidRPr="0084402E">
        <w:rPr>
          <w:rFonts w:ascii="Arial" w:eastAsiaTheme="minorEastAsia" w:hAnsi="Arial" w:cs="Arial"/>
          <w:sz w:val="24"/>
          <w:szCs w:val="24"/>
        </w:rPr>
        <w:t>derechos</w:t>
      </w:r>
      <w:r w:rsidR="00FC1626" w:rsidRPr="0084402E">
        <w:rPr>
          <w:rFonts w:ascii="Arial" w:eastAsiaTheme="minorEastAsia" w:hAnsi="Arial" w:cs="Arial"/>
          <w:sz w:val="24"/>
          <w:szCs w:val="24"/>
        </w:rPr>
        <w:t xml:space="preserve"> y obligaciones de los beneficiarios </w:t>
      </w:r>
      <w:r w:rsidR="00246F50" w:rsidRPr="0084402E">
        <w:rPr>
          <w:rFonts w:ascii="Arial" w:eastAsiaTheme="minorEastAsia" w:hAnsi="Arial" w:cs="Arial"/>
          <w:sz w:val="24"/>
          <w:szCs w:val="24"/>
        </w:rPr>
        <w:t>como</w:t>
      </w:r>
      <w:r w:rsidR="00EA519D" w:rsidRPr="0084402E">
        <w:rPr>
          <w:rFonts w:ascii="Arial" w:eastAsiaTheme="minorEastAsia" w:hAnsi="Arial" w:cs="Arial"/>
          <w:sz w:val="24"/>
          <w:szCs w:val="24"/>
        </w:rPr>
        <w:t xml:space="preserve"> son acceder a los servicios y, si cumplen los requisitos, obtener las certificaciones y constancias correspondientes. Por otro lado se</w:t>
      </w:r>
      <w:r w:rsidR="009424C1" w:rsidRPr="0084402E">
        <w:rPr>
          <w:rFonts w:ascii="Arial" w:eastAsiaTheme="minorEastAsia" w:hAnsi="Arial" w:cs="Arial"/>
          <w:sz w:val="24"/>
          <w:szCs w:val="24"/>
        </w:rPr>
        <w:t xml:space="preserve"> determinan las obligaciones del INEA de proporcionar información sobre los logros del programa y el ejercicio del presupuesto para la integración de los informes a la H. Cámara de Diputados; el portal de transparencia, la evaluación y la fiscalización, así como de los Institutos Estatales de Educación para Adultos</w:t>
      </w:r>
      <w:r w:rsidR="00413614" w:rsidRPr="0084402E">
        <w:rPr>
          <w:rFonts w:ascii="Arial" w:eastAsiaTheme="minorEastAsia" w:hAnsi="Arial" w:cs="Arial"/>
          <w:sz w:val="24"/>
          <w:szCs w:val="24"/>
        </w:rPr>
        <w:t xml:space="preserve"> (IEEA)</w:t>
      </w:r>
      <w:r w:rsidR="009424C1" w:rsidRPr="0084402E">
        <w:rPr>
          <w:rFonts w:ascii="Arial" w:eastAsiaTheme="minorEastAsia" w:hAnsi="Arial" w:cs="Arial"/>
          <w:sz w:val="24"/>
          <w:szCs w:val="24"/>
        </w:rPr>
        <w:t>, como lo es el IEAEY, de proporcionar los servicios de alfabetización, educación primaria y secundaria para adultos a fin de cumplir</w:t>
      </w:r>
      <w:r w:rsidR="00246F50" w:rsidRPr="0084402E">
        <w:rPr>
          <w:rFonts w:ascii="Arial" w:eastAsiaTheme="minorEastAsia" w:hAnsi="Arial" w:cs="Arial"/>
          <w:sz w:val="24"/>
          <w:szCs w:val="24"/>
        </w:rPr>
        <w:t xml:space="preserve"> </w:t>
      </w:r>
      <w:r w:rsidR="009424C1" w:rsidRPr="0084402E">
        <w:rPr>
          <w:rFonts w:ascii="Arial" w:eastAsiaTheme="minorEastAsia" w:hAnsi="Arial" w:cs="Arial"/>
          <w:sz w:val="24"/>
          <w:szCs w:val="24"/>
        </w:rPr>
        <w:t xml:space="preserve">las metas convenidas, realizar una correcta aplicación de los recursos, informando puntualmente del ejercicio de los recursos; </w:t>
      </w:r>
      <w:r w:rsidR="009424C1" w:rsidRPr="0084402E">
        <w:rPr>
          <w:rFonts w:ascii="Arial" w:eastAsiaTheme="minorEastAsia" w:hAnsi="Arial" w:cs="Arial"/>
          <w:sz w:val="24"/>
          <w:szCs w:val="24"/>
        </w:rPr>
        <w:lastRenderedPageBreak/>
        <w:t xml:space="preserve">proporcionar informes periódicos de seguimiento de las actividades sustantivas y dar todas las facilidades a los órganos de fiscalización y atender sus requerimientos. </w:t>
      </w:r>
    </w:p>
    <w:p w14:paraId="789E6BDF" w14:textId="77777777" w:rsidR="002835DF" w:rsidRPr="0084402E" w:rsidRDefault="002835DF" w:rsidP="002D4695">
      <w:pPr>
        <w:spacing w:after="0" w:line="360" w:lineRule="auto"/>
        <w:jc w:val="both"/>
        <w:rPr>
          <w:rFonts w:ascii="Arial" w:eastAsiaTheme="minorEastAsia" w:hAnsi="Arial" w:cs="Arial"/>
          <w:sz w:val="24"/>
          <w:szCs w:val="24"/>
        </w:rPr>
      </w:pPr>
    </w:p>
    <w:p w14:paraId="43ED28F5" w14:textId="181E5DEE" w:rsidR="006E5B1C" w:rsidRPr="0084402E" w:rsidRDefault="00413614" w:rsidP="006E5B1C">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Finalmente</w:t>
      </w:r>
      <w:r w:rsidR="00246F50" w:rsidRPr="0084402E">
        <w:rPr>
          <w:rFonts w:ascii="Arial" w:eastAsiaTheme="minorEastAsia" w:hAnsi="Arial" w:cs="Arial"/>
          <w:sz w:val="24"/>
          <w:szCs w:val="24"/>
        </w:rPr>
        <w:t>,</w:t>
      </w:r>
      <w:r w:rsidRPr="0084402E">
        <w:rPr>
          <w:rFonts w:ascii="Arial" w:eastAsiaTheme="minorEastAsia" w:hAnsi="Arial" w:cs="Arial"/>
          <w:sz w:val="24"/>
          <w:szCs w:val="24"/>
        </w:rPr>
        <w:t xml:space="preserve"> en este punto se establecen cuáles son </w:t>
      </w:r>
      <w:r w:rsidR="0091653D" w:rsidRPr="0084402E">
        <w:rPr>
          <w:rFonts w:ascii="Arial" w:eastAsiaTheme="minorEastAsia" w:hAnsi="Arial" w:cs="Arial"/>
          <w:sz w:val="24"/>
          <w:szCs w:val="24"/>
        </w:rPr>
        <w:t>las entidades participantes en la prestaci</w:t>
      </w:r>
      <w:r w:rsidR="00246F50" w:rsidRPr="0084402E">
        <w:rPr>
          <w:rFonts w:ascii="Arial" w:eastAsiaTheme="minorEastAsia" w:hAnsi="Arial" w:cs="Arial"/>
          <w:sz w:val="24"/>
          <w:szCs w:val="24"/>
        </w:rPr>
        <w:t>ón de los servicios</w:t>
      </w:r>
      <w:r w:rsidRPr="0084402E">
        <w:rPr>
          <w:rFonts w:ascii="Arial" w:eastAsiaTheme="minorEastAsia" w:hAnsi="Arial" w:cs="Arial"/>
          <w:sz w:val="24"/>
          <w:szCs w:val="24"/>
        </w:rPr>
        <w:t xml:space="preserve"> en cuanto a las instancias ejecutoras se encuentran en el ámbito estatal los IEEA que se encargan de la aplicación operativa y organizativa del programa, con coordinaciones zonales y regionales, también desempeñan un papel importante la red solidaria que es un sistema formado por actores del sector público privado y social que apoyan solidariamente los servicios educativos facilitando espacios para la prestación de los servicios; los Patronatos Pro Educación de los Adultos, que son asociaciones civiles que son responsables de hacer llegar los apoyos econó</w:t>
      </w:r>
      <w:r w:rsidR="0052541E" w:rsidRPr="0084402E">
        <w:rPr>
          <w:rFonts w:ascii="Arial" w:eastAsiaTheme="minorEastAsia" w:hAnsi="Arial" w:cs="Arial"/>
          <w:sz w:val="24"/>
          <w:szCs w:val="24"/>
        </w:rPr>
        <w:t xml:space="preserve">micos a las figuras solidarias </w:t>
      </w:r>
      <w:r w:rsidRPr="0084402E">
        <w:rPr>
          <w:rFonts w:ascii="Arial" w:eastAsiaTheme="minorEastAsia" w:hAnsi="Arial" w:cs="Arial"/>
          <w:sz w:val="24"/>
          <w:szCs w:val="24"/>
        </w:rPr>
        <w:t>y también de conseguir recursos a favor de la educación para adultos</w:t>
      </w:r>
      <w:r w:rsidR="006E2AC8" w:rsidRPr="0084402E">
        <w:rPr>
          <w:rFonts w:ascii="Arial" w:eastAsiaTheme="minorEastAsia" w:hAnsi="Arial" w:cs="Arial"/>
          <w:sz w:val="24"/>
          <w:szCs w:val="24"/>
        </w:rPr>
        <w:t xml:space="preserve">. </w:t>
      </w:r>
    </w:p>
    <w:p w14:paraId="7C4923A1" w14:textId="77777777" w:rsidR="00793700" w:rsidRPr="0084402E" w:rsidRDefault="00793700" w:rsidP="006E5B1C">
      <w:pPr>
        <w:spacing w:after="0" w:line="360" w:lineRule="auto"/>
        <w:jc w:val="both"/>
        <w:rPr>
          <w:rFonts w:ascii="Arial" w:eastAsiaTheme="minorEastAsia" w:hAnsi="Arial" w:cs="Arial"/>
          <w:sz w:val="24"/>
          <w:szCs w:val="24"/>
        </w:rPr>
      </w:pPr>
    </w:p>
    <w:p w14:paraId="1CE8D585" w14:textId="600629EF" w:rsidR="00793700" w:rsidRPr="0084402E" w:rsidRDefault="00793700" w:rsidP="006E5B1C">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En </w:t>
      </w:r>
      <w:r w:rsidR="00872FDE" w:rsidRPr="0084402E">
        <w:rPr>
          <w:rFonts w:ascii="Arial" w:eastAsiaTheme="minorEastAsia" w:hAnsi="Arial" w:cs="Arial"/>
          <w:sz w:val="24"/>
          <w:szCs w:val="24"/>
        </w:rPr>
        <w:t>punto No. 4</w:t>
      </w:r>
      <w:r w:rsidRPr="0084402E">
        <w:rPr>
          <w:rFonts w:ascii="Arial" w:eastAsiaTheme="minorEastAsia" w:hAnsi="Arial" w:cs="Arial"/>
          <w:sz w:val="24"/>
          <w:szCs w:val="24"/>
        </w:rPr>
        <w:t xml:space="preserve"> describe el proceso de operación de los servicios educativos que contempla los procesos de acreditación y certificación de los conocimientos, los procedimientos para resguardo y baja de expedientes y seguimiento a la situación del educando. También se describe Modelo de Educación para la Vida y el Trabajo (MEVyT), sus características y vertientes. En este punto se establecen </w:t>
      </w:r>
      <w:r w:rsidR="00872FDE" w:rsidRPr="0084402E">
        <w:rPr>
          <w:rFonts w:ascii="Arial" w:eastAsiaTheme="minorEastAsia" w:hAnsi="Arial" w:cs="Arial"/>
          <w:sz w:val="24"/>
          <w:szCs w:val="24"/>
        </w:rPr>
        <w:t xml:space="preserve">los lineamientos relativos a la ejecución de los recursos transferidos, en particular, la formulación presentación de avances físico financieros y del informe de cierre de ejercicio fiscal. </w:t>
      </w:r>
    </w:p>
    <w:p w14:paraId="2B5416E0" w14:textId="77777777" w:rsidR="00872FDE" w:rsidRPr="0084402E" w:rsidRDefault="00872FDE" w:rsidP="006E5B1C">
      <w:pPr>
        <w:spacing w:after="0" w:line="360" w:lineRule="auto"/>
        <w:jc w:val="both"/>
        <w:rPr>
          <w:rFonts w:ascii="Arial" w:eastAsiaTheme="minorEastAsia" w:hAnsi="Arial" w:cs="Arial"/>
          <w:sz w:val="24"/>
          <w:szCs w:val="24"/>
        </w:rPr>
      </w:pPr>
    </w:p>
    <w:p w14:paraId="53FE54C2" w14:textId="77777777" w:rsidR="00872FDE" w:rsidRPr="0084402E" w:rsidRDefault="00872FDE" w:rsidP="006E5B1C">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El punto No. 5 establece lo relativo a la auditoría, control y seguimiento, mientras que el punto No.  6 se refiere a la evaluación interna y externa del desempeño del programa. El punto No. 7 establece los mecanismos de transparencia en cuanto a la difusión de los servicios por una parte, y por la otra la protección de los datos personales del padrón de beneficiarios.  El punto No. 8 establece las vías para la presentación de quejas o denuncias sobre la prestación de los servicios.</w:t>
      </w:r>
    </w:p>
    <w:p w14:paraId="5F0677F5" w14:textId="77777777" w:rsidR="00872FDE" w:rsidRPr="0084402E" w:rsidRDefault="00872FDE" w:rsidP="006E5B1C">
      <w:pPr>
        <w:spacing w:after="0" w:line="360" w:lineRule="auto"/>
        <w:jc w:val="both"/>
        <w:rPr>
          <w:rFonts w:ascii="Arial" w:eastAsiaTheme="minorEastAsia" w:hAnsi="Arial" w:cs="Arial"/>
          <w:sz w:val="24"/>
          <w:szCs w:val="24"/>
        </w:rPr>
      </w:pPr>
    </w:p>
    <w:p w14:paraId="1634D7E9" w14:textId="61453193" w:rsidR="00872FDE" w:rsidRPr="0084402E" w:rsidRDefault="00872FDE" w:rsidP="006E5B1C">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lastRenderedPageBreak/>
        <w:t xml:space="preserve">En cuanto a los anexos, el No. 1 es la Ficha de Registro de Educando, el </w:t>
      </w:r>
      <w:r w:rsidR="00CE3AD2" w:rsidRPr="0084402E">
        <w:rPr>
          <w:rFonts w:ascii="Arial" w:eastAsiaTheme="minorEastAsia" w:hAnsi="Arial" w:cs="Arial"/>
          <w:sz w:val="24"/>
          <w:szCs w:val="24"/>
        </w:rPr>
        <w:t>Anexo 2 es un Modelo de Conveni</w:t>
      </w:r>
      <w:r w:rsidRPr="0084402E">
        <w:rPr>
          <w:rFonts w:ascii="Arial" w:eastAsiaTheme="minorEastAsia" w:hAnsi="Arial" w:cs="Arial"/>
          <w:sz w:val="24"/>
          <w:szCs w:val="24"/>
        </w:rPr>
        <w:t>o, en caso de que la entidad convenga con la SEP la transfe</w:t>
      </w:r>
      <w:r w:rsidR="00CE3AD2" w:rsidRPr="0084402E">
        <w:rPr>
          <w:rFonts w:ascii="Arial" w:eastAsiaTheme="minorEastAsia" w:hAnsi="Arial" w:cs="Arial"/>
          <w:sz w:val="24"/>
          <w:szCs w:val="24"/>
        </w:rPr>
        <w:t>rencia de recursos del Ramo 11. El Anexo 3 son Lineamientos específicos de Operación que presentan con mayor detalle algunos aspectos contemplados</w:t>
      </w:r>
      <w:r w:rsidR="00DC671D" w:rsidRPr="0084402E">
        <w:rPr>
          <w:rFonts w:ascii="Arial" w:eastAsiaTheme="minorEastAsia" w:hAnsi="Arial" w:cs="Arial"/>
          <w:sz w:val="24"/>
          <w:szCs w:val="24"/>
        </w:rPr>
        <w:t xml:space="preserve"> en los lineamientos generales</w:t>
      </w:r>
      <w:r w:rsidR="00246F50" w:rsidRPr="0084402E">
        <w:rPr>
          <w:rFonts w:ascii="Arial" w:eastAsiaTheme="minorEastAsia" w:hAnsi="Arial" w:cs="Arial"/>
          <w:sz w:val="24"/>
          <w:szCs w:val="24"/>
        </w:rPr>
        <w:t>;</w:t>
      </w:r>
      <w:r w:rsidR="00CE3AD2" w:rsidRPr="0084402E">
        <w:rPr>
          <w:rFonts w:ascii="Arial" w:eastAsiaTheme="minorEastAsia" w:hAnsi="Arial" w:cs="Arial"/>
          <w:sz w:val="24"/>
          <w:szCs w:val="24"/>
        </w:rPr>
        <w:t xml:space="preserve"> y el Anexo 4 es un modelo de Convenio Específico de Colaboración para la realización de proyectos en el marco del Convenio de Descentralización de los recursos </w:t>
      </w:r>
      <w:r w:rsidR="00246F50" w:rsidRPr="0084402E">
        <w:rPr>
          <w:rFonts w:ascii="Arial" w:eastAsiaTheme="minorEastAsia" w:hAnsi="Arial" w:cs="Arial"/>
          <w:sz w:val="24"/>
          <w:szCs w:val="24"/>
        </w:rPr>
        <w:t>que</w:t>
      </w:r>
      <w:r w:rsidR="008B6F4D" w:rsidRPr="0084402E">
        <w:rPr>
          <w:rFonts w:ascii="Arial" w:eastAsiaTheme="minorEastAsia" w:hAnsi="Arial" w:cs="Arial"/>
          <w:sz w:val="24"/>
          <w:szCs w:val="24"/>
        </w:rPr>
        <w:t xml:space="preserve"> presenta el Anexo 2. </w:t>
      </w:r>
    </w:p>
    <w:p w14:paraId="044BBA53" w14:textId="1A6A50D5" w:rsidR="003863F2" w:rsidRDefault="003863F2">
      <w:pPr>
        <w:spacing w:after="0" w:line="240" w:lineRule="auto"/>
        <w:rPr>
          <w:rFonts w:ascii="Arial" w:eastAsiaTheme="minorEastAsia" w:hAnsi="Arial" w:cs="Arial"/>
          <w:sz w:val="24"/>
          <w:szCs w:val="24"/>
        </w:rPr>
      </w:pPr>
      <w:r>
        <w:rPr>
          <w:rFonts w:ascii="Arial" w:eastAsiaTheme="minorEastAsia" w:hAnsi="Arial" w:cs="Arial"/>
          <w:sz w:val="24"/>
          <w:szCs w:val="24"/>
        </w:rPr>
        <w:br w:type="page"/>
      </w:r>
    </w:p>
    <w:p w14:paraId="7BABA8C8" w14:textId="77777777" w:rsidR="00231E4F" w:rsidRPr="0084402E" w:rsidRDefault="00231E4F" w:rsidP="006E5B1C">
      <w:pPr>
        <w:spacing w:after="0" w:line="360" w:lineRule="auto"/>
        <w:jc w:val="both"/>
        <w:rPr>
          <w:rFonts w:ascii="Arial" w:eastAsiaTheme="minorEastAsia" w:hAnsi="Arial" w:cs="Arial"/>
          <w:sz w:val="24"/>
          <w:szCs w:val="24"/>
        </w:rPr>
      </w:pPr>
    </w:p>
    <w:p w14:paraId="6837A9DD" w14:textId="77777777" w:rsidR="00197462" w:rsidRPr="0084402E" w:rsidRDefault="00197462" w:rsidP="006E5B1C">
      <w:pPr>
        <w:spacing w:after="0" w:line="360" w:lineRule="auto"/>
        <w:jc w:val="both"/>
        <w:rPr>
          <w:rFonts w:ascii="Arial" w:eastAsiaTheme="minorEastAsia" w:hAnsi="Arial" w:cs="Arial"/>
          <w:sz w:val="24"/>
          <w:szCs w:val="24"/>
        </w:rPr>
      </w:pPr>
    </w:p>
    <w:p w14:paraId="3A7C6777" w14:textId="77777777" w:rsidR="00197462" w:rsidRPr="0084402E" w:rsidRDefault="00197462" w:rsidP="006E5B1C">
      <w:pPr>
        <w:spacing w:after="0" w:line="360" w:lineRule="auto"/>
        <w:jc w:val="both"/>
        <w:rPr>
          <w:rFonts w:ascii="Arial" w:eastAsiaTheme="minorEastAsia" w:hAnsi="Arial" w:cs="Arial"/>
          <w:sz w:val="24"/>
          <w:szCs w:val="24"/>
        </w:rPr>
      </w:pPr>
    </w:p>
    <w:p w14:paraId="519A1473" w14:textId="77777777" w:rsidR="00197462" w:rsidRPr="0084402E" w:rsidRDefault="00197462" w:rsidP="006E5B1C">
      <w:pPr>
        <w:spacing w:after="0" w:line="360" w:lineRule="auto"/>
        <w:jc w:val="both"/>
        <w:rPr>
          <w:rFonts w:ascii="Arial" w:eastAsiaTheme="minorEastAsia" w:hAnsi="Arial" w:cs="Arial"/>
          <w:sz w:val="24"/>
          <w:szCs w:val="24"/>
        </w:rPr>
      </w:pPr>
    </w:p>
    <w:p w14:paraId="3B52C77B" w14:textId="77777777" w:rsidR="00640418" w:rsidRPr="0084402E" w:rsidRDefault="00640418" w:rsidP="004C0514">
      <w:pPr>
        <w:spacing w:after="0" w:line="360" w:lineRule="auto"/>
        <w:jc w:val="center"/>
        <w:rPr>
          <w:rFonts w:ascii="Arial" w:hAnsi="Arial" w:cs="Arial"/>
          <w:sz w:val="24"/>
          <w:szCs w:val="24"/>
        </w:rPr>
      </w:pPr>
    </w:p>
    <w:p w14:paraId="48AED94D" w14:textId="77777777" w:rsidR="00B10C97" w:rsidRPr="0084402E" w:rsidRDefault="00B10C97" w:rsidP="004C0514">
      <w:pPr>
        <w:spacing w:after="0" w:line="360" w:lineRule="auto"/>
        <w:jc w:val="center"/>
        <w:rPr>
          <w:rFonts w:ascii="Arial" w:hAnsi="Arial" w:cs="Arial"/>
          <w:sz w:val="24"/>
          <w:szCs w:val="24"/>
        </w:rPr>
      </w:pPr>
    </w:p>
    <w:p w14:paraId="76D334B0" w14:textId="77777777" w:rsidR="00B10C97" w:rsidRDefault="00B10C97" w:rsidP="004C0514">
      <w:pPr>
        <w:spacing w:after="0" w:line="360" w:lineRule="auto"/>
        <w:jc w:val="center"/>
        <w:rPr>
          <w:rFonts w:ascii="Arial" w:hAnsi="Arial" w:cs="Arial"/>
          <w:sz w:val="24"/>
          <w:szCs w:val="24"/>
        </w:rPr>
      </w:pPr>
    </w:p>
    <w:p w14:paraId="037703B6" w14:textId="77777777" w:rsidR="003863F2" w:rsidRDefault="003863F2" w:rsidP="004C0514">
      <w:pPr>
        <w:spacing w:after="0" w:line="360" w:lineRule="auto"/>
        <w:jc w:val="center"/>
        <w:rPr>
          <w:rFonts w:ascii="Arial" w:hAnsi="Arial" w:cs="Arial"/>
          <w:sz w:val="24"/>
          <w:szCs w:val="24"/>
        </w:rPr>
      </w:pPr>
    </w:p>
    <w:p w14:paraId="07D604C2" w14:textId="77777777" w:rsidR="003863F2" w:rsidRDefault="003863F2" w:rsidP="004C0514">
      <w:pPr>
        <w:spacing w:after="0" w:line="360" w:lineRule="auto"/>
        <w:jc w:val="center"/>
        <w:rPr>
          <w:rFonts w:ascii="Arial" w:hAnsi="Arial" w:cs="Arial"/>
          <w:sz w:val="24"/>
          <w:szCs w:val="24"/>
        </w:rPr>
      </w:pPr>
    </w:p>
    <w:p w14:paraId="38813D53" w14:textId="77777777" w:rsidR="003863F2" w:rsidRPr="0084402E" w:rsidRDefault="003863F2" w:rsidP="004C0514">
      <w:pPr>
        <w:spacing w:after="0" w:line="360" w:lineRule="auto"/>
        <w:jc w:val="center"/>
        <w:rPr>
          <w:rFonts w:ascii="Arial" w:hAnsi="Arial" w:cs="Arial"/>
          <w:sz w:val="24"/>
          <w:szCs w:val="24"/>
        </w:rPr>
      </w:pPr>
    </w:p>
    <w:p w14:paraId="1F993C59" w14:textId="77777777" w:rsidR="00B10C97" w:rsidRPr="0084402E" w:rsidRDefault="00B10C97" w:rsidP="004C0514">
      <w:pPr>
        <w:spacing w:after="0" w:line="360" w:lineRule="auto"/>
        <w:jc w:val="center"/>
        <w:rPr>
          <w:rFonts w:ascii="Arial" w:hAnsi="Arial" w:cs="Arial"/>
          <w:sz w:val="24"/>
          <w:szCs w:val="24"/>
        </w:rPr>
      </w:pPr>
    </w:p>
    <w:p w14:paraId="54ACF846" w14:textId="77777777" w:rsidR="00B10C97" w:rsidRPr="0084402E" w:rsidRDefault="00B10C97" w:rsidP="004C0514">
      <w:pPr>
        <w:spacing w:after="0" w:line="360" w:lineRule="auto"/>
        <w:jc w:val="center"/>
        <w:rPr>
          <w:rFonts w:ascii="Arial" w:hAnsi="Arial" w:cs="Arial"/>
          <w:sz w:val="24"/>
          <w:szCs w:val="24"/>
        </w:rPr>
      </w:pPr>
    </w:p>
    <w:p w14:paraId="71BB813D" w14:textId="77777777" w:rsidR="00640418" w:rsidRPr="0084402E" w:rsidRDefault="00640418" w:rsidP="004C0514">
      <w:pPr>
        <w:spacing w:after="0" w:line="360" w:lineRule="auto"/>
        <w:jc w:val="center"/>
        <w:rPr>
          <w:rFonts w:ascii="Arial" w:hAnsi="Arial" w:cs="Arial"/>
          <w:sz w:val="24"/>
          <w:szCs w:val="24"/>
        </w:rPr>
      </w:pPr>
    </w:p>
    <w:p w14:paraId="4159ECE8" w14:textId="77777777" w:rsidR="00640418" w:rsidRPr="0084402E" w:rsidRDefault="00640418" w:rsidP="004C0514">
      <w:pPr>
        <w:spacing w:after="0" w:line="360" w:lineRule="auto"/>
        <w:jc w:val="center"/>
        <w:rPr>
          <w:rFonts w:ascii="Arial" w:hAnsi="Arial" w:cs="Arial"/>
          <w:sz w:val="24"/>
          <w:szCs w:val="24"/>
        </w:rPr>
      </w:pPr>
    </w:p>
    <w:p w14:paraId="31E261EA" w14:textId="13C08157" w:rsidR="00640418" w:rsidRPr="0084402E" w:rsidRDefault="002D4695" w:rsidP="004C0514">
      <w:pPr>
        <w:spacing w:after="0" w:line="360" w:lineRule="auto"/>
        <w:jc w:val="center"/>
        <w:rPr>
          <w:rFonts w:ascii="Arial" w:eastAsiaTheme="minorEastAsia" w:hAnsi="Arial" w:cs="Arial"/>
          <w:b/>
          <w:sz w:val="24"/>
          <w:szCs w:val="24"/>
        </w:rPr>
      </w:pPr>
      <w:r w:rsidRPr="0084402E">
        <w:rPr>
          <w:rFonts w:ascii="Arial" w:hAnsi="Arial" w:cs="Arial"/>
          <w:b/>
          <w:sz w:val="24"/>
          <w:szCs w:val="24"/>
        </w:rPr>
        <w:t xml:space="preserve"> V</w:t>
      </w:r>
      <w:r w:rsidR="00934175">
        <w:rPr>
          <w:rFonts w:ascii="Arial" w:hAnsi="Arial" w:cs="Arial"/>
          <w:b/>
          <w:sz w:val="24"/>
          <w:szCs w:val="24"/>
        </w:rPr>
        <w:t>I</w:t>
      </w:r>
      <w:r w:rsidRPr="0084402E">
        <w:rPr>
          <w:rFonts w:ascii="Arial" w:hAnsi="Arial" w:cs="Arial"/>
          <w:b/>
          <w:sz w:val="24"/>
          <w:szCs w:val="24"/>
        </w:rPr>
        <w:t xml:space="preserve">. </w:t>
      </w:r>
      <w:r w:rsidRPr="0084402E">
        <w:rPr>
          <w:rFonts w:ascii="Arial" w:eastAsiaTheme="minorEastAsia" w:hAnsi="Arial" w:cs="Arial"/>
          <w:b/>
          <w:sz w:val="24"/>
          <w:szCs w:val="24"/>
        </w:rPr>
        <w:t>ADMINISTRACIÓN FINANCIERA</w:t>
      </w:r>
    </w:p>
    <w:p w14:paraId="54D31B7C" w14:textId="77777777" w:rsidR="00640418" w:rsidRPr="0084402E" w:rsidRDefault="00640418" w:rsidP="004C0514">
      <w:pPr>
        <w:spacing w:after="0" w:line="360" w:lineRule="auto"/>
        <w:rPr>
          <w:rFonts w:ascii="Arial" w:eastAsiaTheme="majorEastAsia" w:hAnsi="Arial" w:cs="Arial"/>
          <w:b/>
          <w:bCs/>
          <w:i/>
          <w:iCs/>
          <w:sz w:val="24"/>
          <w:szCs w:val="24"/>
        </w:rPr>
      </w:pPr>
    </w:p>
    <w:p w14:paraId="41D236D8" w14:textId="77777777" w:rsidR="00640418" w:rsidRPr="0084402E" w:rsidRDefault="00640418" w:rsidP="004C0514">
      <w:pPr>
        <w:spacing w:after="0" w:line="240" w:lineRule="auto"/>
        <w:rPr>
          <w:rFonts w:ascii="Arial" w:eastAsiaTheme="majorEastAsia" w:hAnsi="Arial" w:cs="Arial"/>
          <w:b/>
          <w:bCs/>
          <w:i/>
          <w:iCs/>
          <w:sz w:val="24"/>
          <w:szCs w:val="24"/>
        </w:rPr>
      </w:pPr>
      <w:r w:rsidRPr="0084402E">
        <w:rPr>
          <w:rFonts w:ascii="Arial" w:eastAsiaTheme="majorEastAsia" w:hAnsi="Arial" w:cs="Arial"/>
          <w:b/>
          <w:bCs/>
          <w:i/>
          <w:iCs/>
          <w:sz w:val="24"/>
          <w:szCs w:val="24"/>
        </w:rPr>
        <w:br w:type="page"/>
      </w:r>
    </w:p>
    <w:p w14:paraId="388ECB4B" w14:textId="77777777" w:rsidR="00C671F3" w:rsidRPr="0084402E" w:rsidRDefault="00C671F3" w:rsidP="002D4695">
      <w:pPr>
        <w:spacing w:after="0" w:line="360" w:lineRule="auto"/>
        <w:ind w:left="284"/>
        <w:jc w:val="both"/>
        <w:rPr>
          <w:rFonts w:ascii="Arial" w:eastAsiaTheme="minorEastAsia" w:hAnsi="Arial" w:cs="Arial"/>
          <w:b/>
          <w:sz w:val="24"/>
          <w:szCs w:val="24"/>
        </w:rPr>
      </w:pPr>
      <w:r w:rsidRPr="0084402E">
        <w:rPr>
          <w:rFonts w:ascii="Arial" w:eastAsiaTheme="minorEastAsia" w:hAnsi="Arial" w:cs="Arial"/>
          <w:b/>
          <w:sz w:val="24"/>
          <w:szCs w:val="24"/>
        </w:rPr>
        <w:lastRenderedPageBreak/>
        <w:t>14. ¿Existe integración entre los distintos sistemas de información que conforman la administración financiera? ¿Cuáles son los sistemas?</w:t>
      </w:r>
    </w:p>
    <w:p w14:paraId="5919D961" w14:textId="77777777" w:rsidR="002D4695" w:rsidRPr="0084402E" w:rsidRDefault="002D4695" w:rsidP="002D4695">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RESPUESTA:</w:t>
      </w:r>
      <w:r w:rsidR="00197462" w:rsidRPr="0084402E">
        <w:rPr>
          <w:rFonts w:ascii="Arial" w:eastAsiaTheme="minorEastAsia" w:hAnsi="Arial" w:cs="Arial"/>
          <w:b/>
          <w:sz w:val="24"/>
          <w:szCs w:val="24"/>
        </w:rPr>
        <w:t xml:space="preserve"> SÍ</w:t>
      </w:r>
    </w:p>
    <w:p w14:paraId="4FB555F9" w14:textId="368BB0A4" w:rsidR="000F5D50" w:rsidRPr="0084402E" w:rsidRDefault="00E93515" w:rsidP="002D4695">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Para la administración financiera se cuenta con el Sistema Integral de</w:t>
      </w:r>
      <w:r w:rsidR="00877380" w:rsidRPr="0084402E">
        <w:rPr>
          <w:rFonts w:ascii="Arial" w:eastAsiaTheme="minorEastAsia" w:hAnsi="Arial" w:cs="Arial"/>
          <w:sz w:val="24"/>
          <w:szCs w:val="24"/>
        </w:rPr>
        <w:t>l Gobierno del Estado de</w:t>
      </w:r>
      <w:r w:rsidR="00131267" w:rsidRPr="0084402E">
        <w:rPr>
          <w:rFonts w:ascii="Arial" w:eastAsiaTheme="minorEastAsia" w:hAnsi="Arial" w:cs="Arial"/>
          <w:sz w:val="24"/>
          <w:szCs w:val="24"/>
        </w:rPr>
        <w:t xml:space="preserve"> </w:t>
      </w:r>
      <w:r w:rsidR="00877380" w:rsidRPr="0084402E">
        <w:rPr>
          <w:rFonts w:ascii="Arial" w:eastAsiaTheme="minorEastAsia" w:hAnsi="Arial" w:cs="Arial"/>
          <w:sz w:val="24"/>
          <w:szCs w:val="24"/>
        </w:rPr>
        <w:t xml:space="preserve">Yucatán (SIGEY). </w:t>
      </w:r>
      <w:r w:rsidR="00131267" w:rsidRPr="0084402E">
        <w:rPr>
          <w:rFonts w:ascii="Arial" w:eastAsiaTheme="minorEastAsia" w:hAnsi="Arial" w:cs="Arial"/>
          <w:sz w:val="24"/>
          <w:szCs w:val="24"/>
        </w:rPr>
        <w:t>Este sistema es el que integra la información financiera, presupuestal y programática de las dependencias del poder ejecutivo, legislativo y judicial del estado, así como sus organismos autónomos. Además, mediante este sistema, dicha información se relaciona también con los objetivos y prioridades de la planeación para el desarrollo</w:t>
      </w:r>
      <w:r w:rsidR="00246F50" w:rsidRPr="0084402E">
        <w:rPr>
          <w:rFonts w:ascii="Arial" w:eastAsiaTheme="minorEastAsia" w:hAnsi="Arial" w:cs="Arial"/>
          <w:sz w:val="24"/>
          <w:szCs w:val="24"/>
        </w:rPr>
        <w:t>,</w:t>
      </w:r>
      <w:r w:rsidR="00131267" w:rsidRPr="0084402E">
        <w:rPr>
          <w:rFonts w:ascii="Arial" w:eastAsiaTheme="minorEastAsia" w:hAnsi="Arial" w:cs="Arial"/>
          <w:sz w:val="24"/>
          <w:szCs w:val="24"/>
        </w:rPr>
        <w:t xml:space="preserve"> así como con su evaluación a través  de los indicadores. </w:t>
      </w:r>
    </w:p>
    <w:p w14:paraId="7AB01555" w14:textId="77777777" w:rsidR="00131267" w:rsidRPr="0084402E" w:rsidRDefault="00131267" w:rsidP="002D4695">
      <w:pPr>
        <w:spacing w:after="0" w:line="360" w:lineRule="auto"/>
        <w:jc w:val="both"/>
        <w:rPr>
          <w:rFonts w:ascii="Arial" w:eastAsiaTheme="minorEastAsia" w:hAnsi="Arial" w:cs="Arial"/>
          <w:sz w:val="24"/>
          <w:szCs w:val="24"/>
        </w:rPr>
      </w:pPr>
    </w:p>
    <w:p w14:paraId="502F62F3" w14:textId="51BBB834" w:rsidR="00131267" w:rsidRPr="0084402E" w:rsidRDefault="00E04385" w:rsidP="006970C0">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El </w:t>
      </w:r>
      <w:r w:rsidR="004A4F9C">
        <w:rPr>
          <w:rFonts w:ascii="Arial" w:eastAsiaTheme="minorEastAsia" w:hAnsi="Arial" w:cs="Arial"/>
          <w:sz w:val="24"/>
          <w:szCs w:val="24"/>
        </w:rPr>
        <w:t>I</w:t>
      </w:r>
      <w:r w:rsidRPr="0084402E">
        <w:rPr>
          <w:rFonts w:ascii="Arial" w:eastAsiaTheme="minorEastAsia" w:hAnsi="Arial" w:cs="Arial"/>
          <w:sz w:val="24"/>
          <w:szCs w:val="24"/>
        </w:rPr>
        <w:t xml:space="preserve">EAEY, como los demás entes públicos, </w:t>
      </w:r>
      <w:r w:rsidR="00246F50" w:rsidRPr="0084402E">
        <w:rPr>
          <w:rFonts w:ascii="Arial" w:eastAsiaTheme="minorEastAsia" w:hAnsi="Arial" w:cs="Arial"/>
          <w:sz w:val="24"/>
          <w:szCs w:val="24"/>
        </w:rPr>
        <w:t>registra</w:t>
      </w:r>
      <w:r w:rsidR="00881B44" w:rsidRPr="0084402E">
        <w:rPr>
          <w:rFonts w:ascii="Arial" w:eastAsiaTheme="minorEastAsia" w:hAnsi="Arial" w:cs="Arial"/>
          <w:sz w:val="24"/>
          <w:szCs w:val="24"/>
        </w:rPr>
        <w:t xml:space="preserve"> en dicho sistema su información financiera, presupuestal</w:t>
      </w:r>
      <w:r w:rsidR="006970C0" w:rsidRPr="0084402E">
        <w:rPr>
          <w:rFonts w:ascii="Arial" w:eastAsiaTheme="minorEastAsia" w:hAnsi="Arial" w:cs="Arial"/>
          <w:sz w:val="24"/>
          <w:szCs w:val="24"/>
        </w:rPr>
        <w:t xml:space="preserve">, sus metas y sus indicadores, información que es insumo para la emisión de los informes trimestrales de avance de la gestión, de conformidad con lo establecido en la Ley del Presupuesto y Contabilidad Gubernamental del Estado de Yucatán, la Ley de Fiscalización de la Cuenta Pública, y demás normatividad estatal en la materia. </w:t>
      </w:r>
    </w:p>
    <w:p w14:paraId="44F3F4E5" w14:textId="77777777" w:rsidR="006013FF" w:rsidRPr="0084402E" w:rsidRDefault="006013FF" w:rsidP="006970C0">
      <w:pPr>
        <w:spacing w:after="0" w:line="360" w:lineRule="auto"/>
        <w:jc w:val="both"/>
        <w:rPr>
          <w:rFonts w:ascii="Arial" w:eastAsiaTheme="minorEastAsia" w:hAnsi="Arial" w:cs="Arial"/>
          <w:sz w:val="24"/>
          <w:szCs w:val="24"/>
        </w:rPr>
      </w:pPr>
    </w:p>
    <w:p w14:paraId="5E06CF41" w14:textId="77777777" w:rsidR="006013FF" w:rsidRPr="0084402E" w:rsidRDefault="006013FF" w:rsidP="006970C0">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Adicionalmente, se cuenta con Sistema de Seguimiento a Gabinete Sectorizado e Informe de Gobierno (SIGO), </w:t>
      </w:r>
      <w:r w:rsidR="0058444A" w:rsidRPr="0084402E">
        <w:rPr>
          <w:rFonts w:ascii="Arial" w:eastAsiaTheme="minorEastAsia" w:hAnsi="Arial" w:cs="Arial"/>
          <w:sz w:val="24"/>
          <w:szCs w:val="24"/>
        </w:rPr>
        <w:t>mediante el cual la Secretaría Técnica del Gabinete, Planeación, coordina y da seguimiento a los trabajos del Sistema de Gabinete Sectorizado,  para la elaboración de los Informes de Gobierno.</w:t>
      </w:r>
      <w:r w:rsidR="00EB6539" w:rsidRPr="0084402E">
        <w:rPr>
          <w:rFonts w:ascii="Arial" w:eastAsiaTheme="minorEastAsia" w:hAnsi="Arial" w:cs="Arial"/>
          <w:sz w:val="24"/>
          <w:szCs w:val="24"/>
        </w:rPr>
        <w:t xml:space="preserve"> Mediante este sistema, las dependencias, entre ellas el IEAEY, capturan la información que será utilizada para la formulación de los Planes Anuales de Trabajo así como también de la integración de los informes trimestrales y del Informe de Gobierno del Poder Ejecutivo del Estado.</w:t>
      </w:r>
    </w:p>
    <w:p w14:paraId="4649D731" w14:textId="77777777" w:rsidR="00390435" w:rsidRPr="0084402E" w:rsidRDefault="00390435" w:rsidP="006970C0">
      <w:pPr>
        <w:spacing w:after="0" w:line="360" w:lineRule="auto"/>
        <w:jc w:val="both"/>
        <w:rPr>
          <w:rFonts w:ascii="Arial" w:eastAsiaTheme="minorEastAsia" w:hAnsi="Arial" w:cs="Arial"/>
          <w:sz w:val="24"/>
          <w:szCs w:val="24"/>
        </w:rPr>
      </w:pPr>
    </w:p>
    <w:p w14:paraId="19D13FD4" w14:textId="66536D1F" w:rsidR="00390435" w:rsidRPr="0084402E" w:rsidRDefault="00390435" w:rsidP="006970C0">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En cuanto la información financiera de recursos de origen federa</w:t>
      </w:r>
      <w:r w:rsidR="00412BAE" w:rsidRPr="0084402E">
        <w:rPr>
          <w:rFonts w:ascii="Arial" w:eastAsiaTheme="minorEastAsia" w:hAnsi="Arial" w:cs="Arial"/>
          <w:sz w:val="24"/>
          <w:szCs w:val="24"/>
        </w:rPr>
        <w:t>l</w:t>
      </w:r>
      <w:r w:rsidRPr="0084402E">
        <w:rPr>
          <w:rFonts w:ascii="Arial" w:eastAsiaTheme="minorEastAsia" w:hAnsi="Arial" w:cs="Arial"/>
          <w:sz w:val="24"/>
          <w:szCs w:val="24"/>
        </w:rPr>
        <w:t xml:space="preserve"> que por disposiciones de</w:t>
      </w:r>
      <w:r w:rsidR="00246F50" w:rsidRPr="0084402E">
        <w:rPr>
          <w:rFonts w:ascii="Arial" w:eastAsiaTheme="minorEastAsia" w:hAnsi="Arial" w:cs="Arial"/>
          <w:sz w:val="24"/>
          <w:szCs w:val="24"/>
        </w:rPr>
        <w:t xml:space="preserve"> la Ley de Coordinación Fiscal y </w:t>
      </w:r>
      <w:r w:rsidRPr="0084402E">
        <w:rPr>
          <w:rFonts w:ascii="Arial" w:eastAsiaTheme="minorEastAsia" w:hAnsi="Arial" w:cs="Arial"/>
          <w:sz w:val="24"/>
          <w:szCs w:val="24"/>
        </w:rPr>
        <w:t xml:space="preserve">la Ley de Presupuesto </w:t>
      </w:r>
      <w:r w:rsidR="00714A8D" w:rsidRPr="0084402E">
        <w:rPr>
          <w:rFonts w:ascii="Arial" w:eastAsiaTheme="minorEastAsia" w:hAnsi="Arial" w:cs="Arial"/>
          <w:sz w:val="24"/>
          <w:szCs w:val="24"/>
        </w:rPr>
        <w:t xml:space="preserve">y Responsabilidad Hacendaria, se cuenta con el Sistema de Formato Único del PASH, en el cual las dependencias que </w:t>
      </w:r>
      <w:r w:rsidR="00714A8D" w:rsidRPr="0084402E">
        <w:rPr>
          <w:rFonts w:ascii="Arial" w:eastAsiaTheme="minorEastAsia" w:hAnsi="Arial" w:cs="Arial"/>
          <w:sz w:val="24"/>
          <w:szCs w:val="24"/>
        </w:rPr>
        <w:lastRenderedPageBreak/>
        <w:t xml:space="preserve">reciben recursos federales deben reportar el avance de sus indicadores así como de la gestión financiera. </w:t>
      </w:r>
    </w:p>
    <w:p w14:paraId="0B8A775E" w14:textId="77777777" w:rsidR="006970C0" w:rsidRPr="0084402E" w:rsidRDefault="006970C0" w:rsidP="006970C0">
      <w:pPr>
        <w:spacing w:after="0" w:line="360" w:lineRule="auto"/>
        <w:jc w:val="both"/>
        <w:rPr>
          <w:rFonts w:ascii="Arial" w:eastAsiaTheme="minorEastAsia" w:hAnsi="Arial" w:cs="Arial"/>
          <w:sz w:val="24"/>
          <w:szCs w:val="24"/>
        </w:rPr>
      </w:pPr>
    </w:p>
    <w:p w14:paraId="5A121256" w14:textId="77777777" w:rsidR="006970C0" w:rsidRPr="0084402E" w:rsidRDefault="006970C0" w:rsidP="006970C0">
      <w:pPr>
        <w:spacing w:after="0" w:line="360" w:lineRule="auto"/>
        <w:jc w:val="both"/>
        <w:rPr>
          <w:rFonts w:ascii="Arial" w:eastAsiaTheme="minorEastAsia" w:hAnsi="Arial" w:cs="Arial"/>
          <w:sz w:val="24"/>
          <w:szCs w:val="24"/>
        </w:rPr>
      </w:pPr>
    </w:p>
    <w:p w14:paraId="02564822" w14:textId="77777777" w:rsidR="00A61E93" w:rsidRPr="0084402E" w:rsidRDefault="00A61E93" w:rsidP="004C0514">
      <w:pPr>
        <w:spacing w:after="0" w:line="360" w:lineRule="auto"/>
        <w:rPr>
          <w:rFonts w:ascii="Arial" w:eastAsiaTheme="minorEastAsia" w:hAnsi="Arial" w:cs="Arial"/>
          <w:color w:val="000000"/>
          <w:sz w:val="24"/>
          <w:szCs w:val="24"/>
        </w:rPr>
      </w:pPr>
      <w:r w:rsidRPr="0084402E">
        <w:rPr>
          <w:rFonts w:ascii="Arial" w:eastAsiaTheme="minorEastAsia" w:hAnsi="Arial" w:cs="Arial"/>
          <w:color w:val="000000"/>
          <w:sz w:val="24"/>
          <w:szCs w:val="24"/>
        </w:rPr>
        <w:br w:type="page"/>
      </w:r>
    </w:p>
    <w:p w14:paraId="431A007E" w14:textId="77777777" w:rsidR="00C671F3" w:rsidRPr="0084402E" w:rsidRDefault="00C671F3" w:rsidP="002D4695">
      <w:pPr>
        <w:autoSpaceDE w:val="0"/>
        <w:autoSpaceDN w:val="0"/>
        <w:adjustRightInd w:val="0"/>
        <w:spacing w:after="0" w:line="360" w:lineRule="auto"/>
        <w:ind w:left="284"/>
        <w:jc w:val="both"/>
        <w:rPr>
          <w:rFonts w:ascii="Arial" w:eastAsiaTheme="minorEastAsia" w:hAnsi="Arial" w:cs="Arial"/>
          <w:i/>
          <w:color w:val="000000"/>
          <w:sz w:val="24"/>
          <w:szCs w:val="24"/>
        </w:rPr>
      </w:pPr>
      <w:r w:rsidRPr="0084402E">
        <w:rPr>
          <w:rFonts w:ascii="Arial" w:eastAsiaTheme="minorEastAsia" w:hAnsi="Arial" w:cs="Arial"/>
          <w:b/>
          <w:color w:val="000000"/>
          <w:sz w:val="24"/>
          <w:szCs w:val="24"/>
        </w:rPr>
        <w:lastRenderedPageBreak/>
        <w:t xml:space="preserve">15. ¿El recurso ministrado se transfirió a las instancias ejecutoras en tiempo y forma? </w:t>
      </w:r>
    </w:p>
    <w:p w14:paraId="5791A7D5" w14:textId="77777777" w:rsidR="002D4695" w:rsidRPr="0084402E" w:rsidRDefault="002D4695" w:rsidP="002D4695">
      <w:pPr>
        <w:autoSpaceDE w:val="0"/>
        <w:autoSpaceDN w:val="0"/>
        <w:adjustRightInd w:val="0"/>
        <w:spacing w:after="0" w:line="360" w:lineRule="auto"/>
        <w:jc w:val="both"/>
        <w:rPr>
          <w:rFonts w:ascii="Arial" w:eastAsiaTheme="minorEastAsia" w:hAnsi="Arial" w:cs="Arial"/>
          <w:b/>
          <w:color w:val="000000"/>
          <w:sz w:val="24"/>
          <w:szCs w:val="24"/>
        </w:rPr>
      </w:pPr>
      <w:r w:rsidRPr="0084402E">
        <w:rPr>
          <w:rFonts w:ascii="Arial" w:eastAsiaTheme="minorEastAsia" w:hAnsi="Arial" w:cs="Arial"/>
          <w:b/>
          <w:color w:val="000000"/>
          <w:sz w:val="24"/>
          <w:szCs w:val="24"/>
        </w:rPr>
        <w:t>RESPUESTA:</w:t>
      </w:r>
      <w:r w:rsidR="00666190" w:rsidRPr="0084402E">
        <w:rPr>
          <w:rFonts w:ascii="Arial" w:eastAsiaTheme="minorEastAsia" w:hAnsi="Arial" w:cs="Arial"/>
          <w:b/>
          <w:color w:val="000000"/>
          <w:sz w:val="24"/>
          <w:szCs w:val="24"/>
        </w:rPr>
        <w:t xml:space="preserve"> SÍ</w:t>
      </w:r>
    </w:p>
    <w:p w14:paraId="04BC094F" w14:textId="2E80167E" w:rsidR="00703FAB" w:rsidRPr="0084402E" w:rsidRDefault="009F2275" w:rsidP="002D4695">
      <w:pPr>
        <w:autoSpaceDE w:val="0"/>
        <w:autoSpaceDN w:val="0"/>
        <w:adjustRightInd w:val="0"/>
        <w:spacing w:after="0" w:line="360" w:lineRule="auto"/>
        <w:jc w:val="both"/>
        <w:rPr>
          <w:rFonts w:ascii="Arial" w:eastAsiaTheme="minorEastAsia" w:hAnsi="Arial" w:cs="Arial"/>
          <w:color w:val="000000"/>
          <w:sz w:val="24"/>
          <w:szCs w:val="24"/>
        </w:rPr>
      </w:pPr>
      <w:r w:rsidRPr="0084402E">
        <w:rPr>
          <w:rFonts w:ascii="Arial" w:eastAsiaTheme="minorEastAsia" w:hAnsi="Arial" w:cs="Arial"/>
          <w:color w:val="000000"/>
          <w:sz w:val="24"/>
          <w:szCs w:val="24"/>
        </w:rPr>
        <w:t>Se observa que los recibos de ministraciones de los recursos</w:t>
      </w:r>
      <w:r w:rsidR="003C43AD" w:rsidRPr="0084402E">
        <w:rPr>
          <w:rFonts w:ascii="Arial" w:eastAsiaTheme="minorEastAsia" w:hAnsi="Arial" w:cs="Arial"/>
          <w:color w:val="000000"/>
          <w:sz w:val="24"/>
          <w:szCs w:val="24"/>
        </w:rPr>
        <w:t xml:space="preserve"> del FAETA por parte del IEAEY s</w:t>
      </w:r>
      <w:r w:rsidRPr="0084402E">
        <w:rPr>
          <w:rFonts w:ascii="Arial" w:eastAsiaTheme="minorEastAsia" w:hAnsi="Arial" w:cs="Arial"/>
          <w:color w:val="000000"/>
          <w:sz w:val="24"/>
          <w:szCs w:val="24"/>
        </w:rPr>
        <w:t>on congruentes en términos general</w:t>
      </w:r>
      <w:r w:rsidR="003C43AD" w:rsidRPr="0084402E">
        <w:rPr>
          <w:rFonts w:ascii="Arial" w:eastAsiaTheme="minorEastAsia" w:hAnsi="Arial" w:cs="Arial"/>
          <w:color w:val="000000"/>
          <w:sz w:val="24"/>
          <w:szCs w:val="24"/>
        </w:rPr>
        <w:t>es</w:t>
      </w:r>
      <w:r w:rsidRPr="0084402E">
        <w:rPr>
          <w:rFonts w:ascii="Arial" w:eastAsiaTheme="minorEastAsia" w:hAnsi="Arial" w:cs="Arial"/>
          <w:color w:val="000000"/>
          <w:sz w:val="24"/>
          <w:szCs w:val="24"/>
        </w:rPr>
        <w:t xml:space="preserve"> en monto y ministración mensual con el programa establecido por la SHCP. </w:t>
      </w:r>
    </w:p>
    <w:p w14:paraId="3CBDD492" w14:textId="77777777" w:rsidR="00703FAB" w:rsidRPr="0084402E" w:rsidRDefault="00703FAB" w:rsidP="002D4695">
      <w:pPr>
        <w:autoSpaceDE w:val="0"/>
        <w:autoSpaceDN w:val="0"/>
        <w:adjustRightInd w:val="0"/>
        <w:spacing w:after="0" w:line="360" w:lineRule="auto"/>
        <w:jc w:val="both"/>
        <w:rPr>
          <w:rFonts w:ascii="Arial" w:eastAsiaTheme="minorEastAsia" w:hAnsi="Arial" w:cs="Arial"/>
          <w:color w:val="000000"/>
          <w:sz w:val="24"/>
          <w:szCs w:val="24"/>
        </w:rPr>
      </w:pPr>
    </w:p>
    <w:tbl>
      <w:tblPr>
        <w:tblW w:w="7340" w:type="dxa"/>
        <w:jc w:val="center"/>
        <w:tblCellMar>
          <w:left w:w="70" w:type="dxa"/>
          <w:right w:w="70" w:type="dxa"/>
        </w:tblCellMar>
        <w:tblLook w:val="04A0" w:firstRow="1" w:lastRow="0" w:firstColumn="1" w:lastColumn="0" w:noHBand="0" w:noVBand="1"/>
      </w:tblPr>
      <w:tblGrid>
        <w:gridCol w:w="1788"/>
        <w:gridCol w:w="2753"/>
        <w:gridCol w:w="1203"/>
        <w:gridCol w:w="1596"/>
      </w:tblGrid>
      <w:tr w:rsidR="00490EBC" w:rsidRPr="0084402E" w14:paraId="20313856" w14:textId="77777777" w:rsidTr="00703FAB">
        <w:trPr>
          <w:trHeight w:val="675"/>
          <w:tblHeader/>
          <w:jc w:val="center"/>
        </w:trPr>
        <w:tc>
          <w:tcPr>
            <w:tcW w:w="73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990B9B5" w14:textId="77777777" w:rsidR="00490EBC" w:rsidRPr="0084402E" w:rsidRDefault="00F7549A" w:rsidP="0043492F">
            <w:pPr>
              <w:spacing w:after="0" w:line="240" w:lineRule="auto"/>
              <w:jc w:val="center"/>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Tabla No.</w:t>
            </w:r>
            <w:r w:rsidR="003E582F" w:rsidRPr="0084402E">
              <w:rPr>
                <w:rFonts w:ascii="Calibri" w:eastAsia="Times New Roman" w:hAnsi="Calibri" w:cs="Calibri"/>
                <w:b/>
                <w:bCs/>
                <w:color w:val="000000"/>
                <w:sz w:val="24"/>
                <w:szCs w:val="24"/>
                <w:lang w:eastAsia="es-MX"/>
              </w:rPr>
              <w:t>6</w:t>
            </w:r>
            <w:r w:rsidR="005766F1" w:rsidRPr="0084402E">
              <w:rPr>
                <w:rFonts w:ascii="Calibri" w:eastAsia="Times New Roman" w:hAnsi="Calibri" w:cs="Calibri"/>
                <w:b/>
                <w:bCs/>
                <w:color w:val="000000"/>
                <w:sz w:val="24"/>
                <w:szCs w:val="24"/>
                <w:lang w:eastAsia="es-MX"/>
              </w:rPr>
              <w:t xml:space="preserve"> </w:t>
            </w:r>
            <w:r w:rsidR="00490EBC" w:rsidRPr="0084402E">
              <w:rPr>
                <w:rFonts w:ascii="Calibri" w:eastAsia="Times New Roman" w:hAnsi="Calibri" w:cs="Calibri"/>
                <w:b/>
                <w:bCs/>
                <w:color w:val="000000"/>
                <w:sz w:val="24"/>
                <w:szCs w:val="24"/>
                <w:lang w:eastAsia="es-MX"/>
              </w:rPr>
              <w:t>MINISTRACIONES DEL FAETA Educación Para Adultos al IEAEY</w:t>
            </w:r>
          </w:p>
        </w:tc>
      </w:tr>
      <w:tr w:rsidR="00490EBC" w:rsidRPr="0084402E" w14:paraId="17929EEE" w14:textId="77777777" w:rsidTr="00703FAB">
        <w:trPr>
          <w:trHeight w:val="360"/>
          <w:tblHeader/>
          <w:jc w:val="center"/>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4AFE15"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PROGRAMADO (DOF 24 DIC 2013)</w:t>
            </w:r>
          </w:p>
        </w:tc>
        <w:tc>
          <w:tcPr>
            <w:tcW w:w="27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022001"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 xml:space="preserve">MINISTRADO </w:t>
            </w:r>
          </w:p>
        </w:tc>
      </w:tr>
      <w:tr w:rsidR="00490EBC" w:rsidRPr="0084402E" w14:paraId="264E03BD" w14:textId="77777777" w:rsidTr="00703FAB">
        <w:trPr>
          <w:trHeight w:val="300"/>
          <w:tblHeader/>
          <w:jc w:val="center"/>
        </w:trPr>
        <w:tc>
          <w:tcPr>
            <w:tcW w:w="1788" w:type="dxa"/>
            <w:tcBorders>
              <w:top w:val="nil"/>
              <w:left w:val="single" w:sz="4" w:space="0" w:color="auto"/>
              <w:bottom w:val="single" w:sz="4" w:space="0" w:color="auto"/>
              <w:right w:val="single" w:sz="4" w:space="0" w:color="auto"/>
            </w:tcBorders>
            <w:shd w:val="clear" w:color="auto" w:fill="auto"/>
            <w:vAlign w:val="bottom"/>
            <w:hideMark/>
          </w:tcPr>
          <w:p w14:paraId="6EE7DEC2"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FECHA</w:t>
            </w:r>
          </w:p>
        </w:tc>
        <w:tc>
          <w:tcPr>
            <w:tcW w:w="2753" w:type="dxa"/>
            <w:tcBorders>
              <w:top w:val="nil"/>
              <w:left w:val="nil"/>
              <w:bottom w:val="single" w:sz="4" w:space="0" w:color="auto"/>
              <w:right w:val="single" w:sz="4" w:space="0" w:color="auto"/>
            </w:tcBorders>
            <w:shd w:val="clear" w:color="auto" w:fill="auto"/>
            <w:noWrap/>
            <w:vAlign w:val="bottom"/>
            <w:hideMark/>
          </w:tcPr>
          <w:p w14:paraId="5059B18F"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MONTO</w:t>
            </w:r>
          </w:p>
        </w:tc>
        <w:tc>
          <w:tcPr>
            <w:tcW w:w="1203" w:type="dxa"/>
            <w:tcBorders>
              <w:top w:val="nil"/>
              <w:left w:val="nil"/>
              <w:bottom w:val="single" w:sz="4" w:space="0" w:color="auto"/>
              <w:right w:val="single" w:sz="4" w:space="0" w:color="auto"/>
            </w:tcBorders>
            <w:shd w:val="clear" w:color="auto" w:fill="auto"/>
            <w:noWrap/>
            <w:vAlign w:val="bottom"/>
            <w:hideMark/>
          </w:tcPr>
          <w:p w14:paraId="1BFDA92C"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FECHA</w:t>
            </w:r>
          </w:p>
        </w:tc>
        <w:tc>
          <w:tcPr>
            <w:tcW w:w="1596" w:type="dxa"/>
            <w:tcBorders>
              <w:top w:val="nil"/>
              <w:left w:val="nil"/>
              <w:bottom w:val="single" w:sz="4" w:space="0" w:color="auto"/>
              <w:right w:val="single" w:sz="4" w:space="0" w:color="auto"/>
            </w:tcBorders>
            <w:shd w:val="clear" w:color="auto" w:fill="auto"/>
            <w:noWrap/>
            <w:vAlign w:val="bottom"/>
            <w:hideMark/>
          </w:tcPr>
          <w:p w14:paraId="6D4FB7E0"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MONTO</w:t>
            </w:r>
          </w:p>
        </w:tc>
      </w:tr>
      <w:tr w:rsidR="00490EBC" w:rsidRPr="0084402E" w14:paraId="6CF32A4C" w14:textId="77777777" w:rsidTr="00703FAB">
        <w:trPr>
          <w:trHeight w:val="300"/>
          <w:jc w:val="center"/>
        </w:trPr>
        <w:tc>
          <w:tcPr>
            <w:tcW w:w="1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9F22AC7"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ENE 10 Y 27</w:t>
            </w:r>
          </w:p>
        </w:tc>
        <w:tc>
          <w:tcPr>
            <w:tcW w:w="275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A5FC1D9" w14:textId="77777777" w:rsidR="00490EBC" w:rsidRPr="0084402E" w:rsidRDefault="00490EBC" w:rsidP="00490EBC">
            <w:pPr>
              <w:spacing w:after="0" w:line="240" w:lineRule="auto"/>
              <w:jc w:val="center"/>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7,469,075.00</w:t>
            </w:r>
          </w:p>
        </w:tc>
        <w:tc>
          <w:tcPr>
            <w:tcW w:w="1203" w:type="dxa"/>
            <w:tcBorders>
              <w:top w:val="nil"/>
              <w:left w:val="nil"/>
              <w:bottom w:val="nil"/>
              <w:right w:val="single" w:sz="4" w:space="0" w:color="auto"/>
            </w:tcBorders>
            <w:shd w:val="clear" w:color="auto" w:fill="auto"/>
            <w:noWrap/>
            <w:vAlign w:val="bottom"/>
            <w:hideMark/>
          </w:tcPr>
          <w:p w14:paraId="469C8C74"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13-ene-14</w:t>
            </w:r>
          </w:p>
        </w:tc>
        <w:tc>
          <w:tcPr>
            <w:tcW w:w="1596" w:type="dxa"/>
            <w:tcBorders>
              <w:top w:val="nil"/>
              <w:left w:val="nil"/>
              <w:bottom w:val="nil"/>
              <w:right w:val="single" w:sz="4" w:space="0" w:color="auto"/>
            </w:tcBorders>
            <w:shd w:val="clear" w:color="auto" w:fill="auto"/>
            <w:noWrap/>
            <w:vAlign w:val="bottom"/>
            <w:hideMark/>
          </w:tcPr>
          <w:p w14:paraId="7EC52A42"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1,114,741.00</w:t>
            </w:r>
          </w:p>
        </w:tc>
      </w:tr>
      <w:tr w:rsidR="00490EBC" w:rsidRPr="0084402E" w14:paraId="0A503421"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47AA9D6B"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7765FCCA"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1E9FD94E"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14-ene-14</w:t>
            </w:r>
          </w:p>
        </w:tc>
        <w:tc>
          <w:tcPr>
            <w:tcW w:w="1596" w:type="dxa"/>
            <w:tcBorders>
              <w:top w:val="nil"/>
              <w:left w:val="nil"/>
              <w:bottom w:val="nil"/>
              <w:right w:val="single" w:sz="4" w:space="0" w:color="auto"/>
            </w:tcBorders>
            <w:shd w:val="clear" w:color="auto" w:fill="auto"/>
            <w:noWrap/>
            <w:vAlign w:val="bottom"/>
            <w:hideMark/>
          </w:tcPr>
          <w:p w14:paraId="75604BFE"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3,366,702.00</w:t>
            </w:r>
          </w:p>
        </w:tc>
      </w:tr>
      <w:tr w:rsidR="00490EBC" w:rsidRPr="0084402E" w14:paraId="36736AD7"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41EC9C59"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2D36CB50"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2A2292C2"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24-ene-14</w:t>
            </w:r>
          </w:p>
        </w:tc>
        <w:tc>
          <w:tcPr>
            <w:tcW w:w="1596" w:type="dxa"/>
            <w:tcBorders>
              <w:top w:val="nil"/>
              <w:left w:val="nil"/>
              <w:bottom w:val="nil"/>
              <w:right w:val="single" w:sz="4" w:space="0" w:color="auto"/>
            </w:tcBorders>
            <w:shd w:val="clear" w:color="auto" w:fill="auto"/>
            <w:noWrap/>
            <w:vAlign w:val="bottom"/>
            <w:hideMark/>
          </w:tcPr>
          <w:p w14:paraId="0B64D606"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2,987,632.00</w:t>
            </w:r>
          </w:p>
        </w:tc>
      </w:tr>
      <w:tr w:rsidR="00490EBC" w:rsidRPr="0084402E" w14:paraId="1CF663A9"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04D67899"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32DD4BCA"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single" w:sz="4" w:space="0" w:color="auto"/>
              <w:right w:val="single" w:sz="4" w:space="0" w:color="auto"/>
            </w:tcBorders>
            <w:shd w:val="clear" w:color="auto" w:fill="auto"/>
            <w:noWrap/>
            <w:vAlign w:val="bottom"/>
            <w:hideMark/>
          </w:tcPr>
          <w:p w14:paraId="6EB165C9"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 </w:t>
            </w:r>
          </w:p>
        </w:tc>
        <w:tc>
          <w:tcPr>
            <w:tcW w:w="1596" w:type="dxa"/>
            <w:tcBorders>
              <w:top w:val="nil"/>
              <w:left w:val="nil"/>
              <w:bottom w:val="single" w:sz="4" w:space="0" w:color="auto"/>
              <w:right w:val="single" w:sz="4" w:space="0" w:color="auto"/>
            </w:tcBorders>
            <w:shd w:val="clear" w:color="auto" w:fill="auto"/>
            <w:noWrap/>
            <w:vAlign w:val="bottom"/>
            <w:hideMark/>
          </w:tcPr>
          <w:p w14:paraId="269AD552" w14:textId="77777777" w:rsidR="00490EBC" w:rsidRPr="0084402E" w:rsidRDefault="00490EBC" w:rsidP="00490EBC">
            <w:pPr>
              <w:spacing w:after="0" w:line="240" w:lineRule="auto"/>
              <w:jc w:val="right"/>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7,469,075.00</w:t>
            </w:r>
          </w:p>
        </w:tc>
      </w:tr>
      <w:tr w:rsidR="00490EBC" w:rsidRPr="0084402E" w14:paraId="4DA5FB39" w14:textId="77777777" w:rsidTr="00703FAB">
        <w:trPr>
          <w:trHeight w:val="300"/>
          <w:jc w:val="center"/>
        </w:trPr>
        <w:tc>
          <w:tcPr>
            <w:tcW w:w="1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35A1F11"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FEB 10 Y  21</w:t>
            </w:r>
          </w:p>
        </w:tc>
        <w:tc>
          <w:tcPr>
            <w:tcW w:w="275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3668C65" w14:textId="77777777" w:rsidR="00490EBC" w:rsidRPr="0084402E" w:rsidRDefault="00490EBC" w:rsidP="00490EBC">
            <w:pPr>
              <w:spacing w:after="0" w:line="240" w:lineRule="auto"/>
              <w:jc w:val="center"/>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5,212,223.00</w:t>
            </w:r>
          </w:p>
        </w:tc>
        <w:tc>
          <w:tcPr>
            <w:tcW w:w="1203" w:type="dxa"/>
            <w:tcBorders>
              <w:top w:val="nil"/>
              <w:left w:val="nil"/>
              <w:bottom w:val="nil"/>
              <w:right w:val="single" w:sz="4" w:space="0" w:color="auto"/>
            </w:tcBorders>
            <w:shd w:val="clear" w:color="auto" w:fill="auto"/>
            <w:noWrap/>
            <w:vAlign w:val="bottom"/>
            <w:hideMark/>
          </w:tcPr>
          <w:p w14:paraId="3024C187"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10-feb-14</w:t>
            </w:r>
          </w:p>
        </w:tc>
        <w:tc>
          <w:tcPr>
            <w:tcW w:w="1596" w:type="dxa"/>
            <w:tcBorders>
              <w:top w:val="nil"/>
              <w:left w:val="nil"/>
              <w:bottom w:val="nil"/>
              <w:right w:val="single" w:sz="4" w:space="0" w:color="auto"/>
            </w:tcBorders>
            <w:shd w:val="clear" w:color="auto" w:fill="auto"/>
            <w:noWrap/>
            <w:vAlign w:val="bottom"/>
            <w:hideMark/>
          </w:tcPr>
          <w:p w14:paraId="0D2132C9"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3,127,332.00</w:t>
            </w:r>
          </w:p>
        </w:tc>
      </w:tr>
      <w:tr w:rsidR="00490EBC" w:rsidRPr="0084402E" w14:paraId="33FB892C"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73A38801"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63A58772"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604A0EA2"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19-feb-14</w:t>
            </w:r>
          </w:p>
        </w:tc>
        <w:tc>
          <w:tcPr>
            <w:tcW w:w="1596" w:type="dxa"/>
            <w:tcBorders>
              <w:top w:val="nil"/>
              <w:left w:val="nil"/>
              <w:bottom w:val="nil"/>
              <w:right w:val="single" w:sz="4" w:space="0" w:color="auto"/>
            </w:tcBorders>
            <w:shd w:val="clear" w:color="auto" w:fill="auto"/>
            <w:noWrap/>
            <w:vAlign w:val="bottom"/>
            <w:hideMark/>
          </w:tcPr>
          <w:p w14:paraId="14203E1D"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2,084,891.00</w:t>
            </w:r>
          </w:p>
        </w:tc>
      </w:tr>
      <w:tr w:rsidR="00490EBC" w:rsidRPr="0084402E" w14:paraId="5E637ED2"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53CA1E05"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0BEE9922"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single" w:sz="4" w:space="0" w:color="auto"/>
              <w:right w:val="single" w:sz="4" w:space="0" w:color="auto"/>
            </w:tcBorders>
            <w:shd w:val="clear" w:color="auto" w:fill="auto"/>
            <w:noWrap/>
            <w:vAlign w:val="bottom"/>
            <w:hideMark/>
          </w:tcPr>
          <w:p w14:paraId="5B7575BB"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 </w:t>
            </w:r>
          </w:p>
        </w:tc>
        <w:tc>
          <w:tcPr>
            <w:tcW w:w="1596" w:type="dxa"/>
            <w:tcBorders>
              <w:top w:val="nil"/>
              <w:left w:val="nil"/>
              <w:bottom w:val="single" w:sz="4" w:space="0" w:color="auto"/>
              <w:right w:val="single" w:sz="4" w:space="0" w:color="auto"/>
            </w:tcBorders>
            <w:shd w:val="clear" w:color="auto" w:fill="auto"/>
            <w:noWrap/>
            <w:vAlign w:val="bottom"/>
            <w:hideMark/>
          </w:tcPr>
          <w:p w14:paraId="4432729B" w14:textId="77777777" w:rsidR="00490EBC" w:rsidRPr="0084402E" w:rsidRDefault="00490EBC" w:rsidP="00490EBC">
            <w:pPr>
              <w:spacing w:after="0" w:line="240" w:lineRule="auto"/>
              <w:jc w:val="right"/>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5,212,223.00</w:t>
            </w:r>
          </w:p>
        </w:tc>
      </w:tr>
      <w:tr w:rsidR="00490EBC" w:rsidRPr="0084402E" w14:paraId="3F880058" w14:textId="77777777" w:rsidTr="00703FAB">
        <w:trPr>
          <w:trHeight w:val="300"/>
          <w:jc w:val="center"/>
        </w:trPr>
        <w:tc>
          <w:tcPr>
            <w:tcW w:w="1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052850"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MZO 11 Y 24</w:t>
            </w:r>
          </w:p>
        </w:tc>
        <w:tc>
          <w:tcPr>
            <w:tcW w:w="275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E85FBA" w14:textId="77777777" w:rsidR="00490EBC" w:rsidRPr="0084402E" w:rsidRDefault="00490EBC" w:rsidP="00490EBC">
            <w:pPr>
              <w:spacing w:after="0" w:line="240" w:lineRule="auto"/>
              <w:jc w:val="center"/>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4,717,994.00</w:t>
            </w:r>
          </w:p>
        </w:tc>
        <w:tc>
          <w:tcPr>
            <w:tcW w:w="1203" w:type="dxa"/>
            <w:tcBorders>
              <w:top w:val="nil"/>
              <w:left w:val="nil"/>
              <w:bottom w:val="nil"/>
              <w:right w:val="single" w:sz="4" w:space="0" w:color="auto"/>
            </w:tcBorders>
            <w:shd w:val="clear" w:color="auto" w:fill="auto"/>
            <w:noWrap/>
            <w:vAlign w:val="bottom"/>
            <w:hideMark/>
          </w:tcPr>
          <w:p w14:paraId="47AD342B"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05-mar-14</w:t>
            </w:r>
          </w:p>
        </w:tc>
        <w:tc>
          <w:tcPr>
            <w:tcW w:w="1596" w:type="dxa"/>
            <w:tcBorders>
              <w:top w:val="nil"/>
              <w:left w:val="nil"/>
              <w:bottom w:val="nil"/>
              <w:right w:val="single" w:sz="4" w:space="0" w:color="auto"/>
            </w:tcBorders>
            <w:shd w:val="clear" w:color="auto" w:fill="auto"/>
            <w:noWrap/>
            <w:vAlign w:val="bottom"/>
            <w:hideMark/>
          </w:tcPr>
          <w:p w14:paraId="5AB7280A"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2,830,795.00</w:t>
            </w:r>
          </w:p>
        </w:tc>
      </w:tr>
      <w:tr w:rsidR="00490EBC" w:rsidRPr="0084402E" w14:paraId="758E3B7A"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5F81FB58"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189454D5"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0D873E82"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19-mar-14</w:t>
            </w:r>
          </w:p>
        </w:tc>
        <w:tc>
          <w:tcPr>
            <w:tcW w:w="1596" w:type="dxa"/>
            <w:tcBorders>
              <w:top w:val="nil"/>
              <w:left w:val="nil"/>
              <w:bottom w:val="nil"/>
              <w:right w:val="single" w:sz="4" w:space="0" w:color="auto"/>
            </w:tcBorders>
            <w:shd w:val="clear" w:color="auto" w:fill="auto"/>
            <w:noWrap/>
            <w:vAlign w:val="bottom"/>
            <w:hideMark/>
          </w:tcPr>
          <w:p w14:paraId="1875AD83"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1,887,199.00</w:t>
            </w:r>
          </w:p>
        </w:tc>
      </w:tr>
      <w:tr w:rsidR="00490EBC" w:rsidRPr="0084402E" w14:paraId="4D729917"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6C8C9CB2"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69644FB9"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single" w:sz="4" w:space="0" w:color="auto"/>
              <w:right w:val="single" w:sz="4" w:space="0" w:color="auto"/>
            </w:tcBorders>
            <w:shd w:val="clear" w:color="auto" w:fill="auto"/>
            <w:noWrap/>
            <w:vAlign w:val="bottom"/>
            <w:hideMark/>
          </w:tcPr>
          <w:p w14:paraId="48535E2C"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 </w:t>
            </w:r>
          </w:p>
        </w:tc>
        <w:tc>
          <w:tcPr>
            <w:tcW w:w="1596" w:type="dxa"/>
            <w:tcBorders>
              <w:top w:val="nil"/>
              <w:left w:val="nil"/>
              <w:bottom w:val="single" w:sz="4" w:space="0" w:color="auto"/>
              <w:right w:val="single" w:sz="4" w:space="0" w:color="auto"/>
            </w:tcBorders>
            <w:shd w:val="clear" w:color="auto" w:fill="auto"/>
            <w:noWrap/>
            <w:vAlign w:val="bottom"/>
            <w:hideMark/>
          </w:tcPr>
          <w:p w14:paraId="4150A263" w14:textId="77777777" w:rsidR="00490EBC" w:rsidRPr="0084402E" w:rsidRDefault="00490EBC" w:rsidP="00490EBC">
            <w:pPr>
              <w:spacing w:after="0" w:line="240" w:lineRule="auto"/>
              <w:jc w:val="right"/>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4,717,994.00</w:t>
            </w:r>
          </w:p>
        </w:tc>
      </w:tr>
      <w:tr w:rsidR="00490EBC" w:rsidRPr="0084402E" w14:paraId="571A21A1" w14:textId="77777777" w:rsidTr="00703FAB">
        <w:trPr>
          <w:trHeight w:val="300"/>
          <w:jc w:val="center"/>
        </w:trPr>
        <w:tc>
          <w:tcPr>
            <w:tcW w:w="1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067DB20"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ABR 10 Y 24</w:t>
            </w:r>
          </w:p>
        </w:tc>
        <w:tc>
          <w:tcPr>
            <w:tcW w:w="275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B4E374F" w14:textId="77777777" w:rsidR="00490EBC" w:rsidRPr="0084402E" w:rsidRDefault="00490EBC" w:rsidP="00490EBC">
            <w:pPr>
              <w:spacing w:after="0" w:line="240" w:lineRule="auto"/>
              <w:jc w:val="center"/>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4,292,907.00</w:t>
            </w:r>
          </w:p>
        </w:tc>
        <w:tc>
          <w:tcPr>
            <w:tcW w:w="1203" w:type="dxa"/>
            <w:tcBorders>
              <w:top w:val="nil"/>
              <w:left w:val="nil"/>
              <w:bottom w:val="nil"/>
              <w:right w:val="single" w:sz="4" w:space="0" w:color="auto"/>
            </w:tcBorders>
            <w:shd w:val="clear" w:color="auto" w:fill="auto"/>
            <w:noWrap/>
            <w:vAlign w:val="bottom"/>
            <w:hideMark/>
          </w:tcPr>
          <w:p w14:paraId="32ACC5FD"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07-abr-14</w:t>
            </w:r>
          </w:p>
        </w:tc>
        <w:tc>
          <w:tcPr>
            <w:tcW w:w="1596" w:type="dxa"/>
            <w:tcBorders>
              <w:top w:val="nil"/>
              <w:left w:val="nil"/>
              <w:bottom w:val="nil"/>
              <w:right w:val="single" w:sz="4" w:space="0" w:color="auto"/>
            </w:tcBorders>
            <w:shd w:val="clear" w:color="auto" w:fill="auto"/>
            <w:noWrap/>
            <w:vAlign w:val="bottom"/>
            <w:hideMark/>
          </w:tcPr>
          <w:p w14:paraId="29345128"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1,717,164.00</w:t>
            </w:r>
          </w:p>
        </w:tc>
      </w:tr>
      <w:tr w:rsidR="00490EBC" w:rsidRPr="0084402E" w14:paraId="2AA74795"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2088FCE0"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4259D99E"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0BFE5DBD"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07-abr-14</w:t>
            </w:r>
          </w:p>
        </w:tc>
        <w:tc>
          <w:tcPr>
            <w:tcW w:w="1596" w:type="dxa"/>
            <w:tcBorders>
              <w:top w:val="nil"/>
              <w:left w:val="nil"/>
              <w:bottom w:val="nil"/>
              <w:right w:val="single" w:sz="4" w:space="0" w:color="auto"/>
            </w:tcBorders>
            <w:shd w:val="clear" w:color="auto" w:fill="auto"/>
            <w:noWrap/>
            <w:vAlign w:val="bottom"/>
            <w:hideMark/>
          </w:tcPr>
          <w:p w14:paraId="385EDF3F"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2,575,743.00</w:t>
            </w:r>
          </w:p>
        </w:tc>
      </w:tr>
      <w:tr w:rsidR="00490EBC" w:rsidRPr="0084402E" w14:paraId="03447DC4"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6E71F4D8"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24CAFAE1"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single" w:sz="4" w:space="0" w:color="auto"/>
              <w:right w:val="single" w:sz="4" w:space="0" w:color="auto"/>
            </w:tcBorders>
            <w:shd w:val="clear" w:color="auto" w:fill="auto"/>
            <w:noWrap/>
            <w:vAlign w:val="bottom"/>
            <w:hideMark/>
          </w:tcPr>
          <w:p w14:paraId="1A075FAF"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 </w:t>
            </w:r>
          </w:p>
        </w:tc>
        <w:tc>
          <w:tcPr>
            <w:tcW w:w="1596" w:type="dxa"/>
            <w:tcBorders>
              <w:top w:val="nil"/>
              <w:left w:val="nil"/>
              <w:bottom w:val="single" w:sz="4" w:space="0" w:color="auto"/>
              <w:right w:val="single" w:sz="4" w:space="0" w:color="auto"/>
            </w:tcBorders>
            <w:shd w:val="clear" w:color="auto" w:fill="auto"/>
            <w:noWrap/>
            <w:vAlign w:val="bottom"/>
            <w:hideMark/>
          </w:tcPr>
          <w:p w14:paraId="27EE7D2A" w14:textId="77777777" w:rsidR="00490EBC" w:rsidRPr="0084402E" w:rsidRDefault="00490EBC" w:rsidP="00490EBC">
            <w:pPr>
              <w:spacing w:after="0" w:line="240" w:lineRule="auto"/>
              <w:jc w:val="right"/>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4,292,907.00</w:t>
            </w:r>
          </w:p>
        </w:tc>
      </w:tr>
      <w:tr w:rsidR="00490EBC" w:rsidRPr="0084402E" w14:paraId="4187E0FB" w14:textId="77777777" w:rsidTr="00703FAB">
        <w:trPr>
          <w:trHeight w:val="300"/>
          <w:jc w:val="center"/>
        </w:trPr>
        <w:tc>
          <w:tcPr>
            <w:tcW w:w="1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59982F2"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MAY 9 Y 26</w:t>
            </w:r>
          </w:p>
        </w:tc>
        <w:tc>
          <w:tcPr>
            <w:tcW w:w="275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D416758" w14:textId="77777777" w:rsidR="00490EBC" w:rsidRPr="0084402E" w:rsidRDefault="00490EBC" w:rsidP="00490EBC">
            <w:pPr>
              <w:spacing w:after="0" w:line="240" w:lineRule="auto"/>
              <w:jc w:val="center"/>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4,525,825.00</w:t>
            </w:r>
          </w:p>
        </w:tc>
        <w:tc>
          <w:tcPr>
            <w:tcW w:w="1203" w:type="dxa"/>
            <w:tcBorders>
              <w:top w:val="nil"/>
              <w:left w:val="nil"/>
              <w:bottom w:val="nil"/>
              <w:right w:val="single" w:sz="4" w:space="0" w:color="auto"/>
            </w:tcBorders>
            <w:shd w:val="clear" w:color="auto" w:fill="auto"/>
            <w:noWrap/>
            <w:vAlign w:val="bottom"/>
            <w:hideMark/>
          </w:tcPr>
          <w:p w14:paraId="712654E3"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02-may-14</w:t>
            </w:r>
          </w:p>
        </w:tc>
        <w:tc>
          <w:tcPr>
            <w:tcW w:w="1596" w:type="dxa"/>
            <w:tcBorders>
              <w:top w:val="nil"/>
              <w:left w:val="nil"/>
              <w:bottom w:val="nil"/>
              <w:right w:val="single" w:sz="4" w:space="0" w:color="auto"/>
            </w:tcBorders>
            <w:shd w:val="clear" w:color="auto" w:fill="auto"/>
            <w:noWrap/>
            <w:vAlign w:val="bottom"/>
            <w:hideMark/>
          </w:tcPr>
          <w:p w14:paraId="669371F6"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2,715,495.00</w:t>
            </w:r>
          </w:p>
        </w:tc>
      </w:tr>
      <w:tr w:rsidR="00490EBC" w:rsidRPr="0084402E" w14:paraId="268DE225"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14CEC544"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5B729180"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5544C67F"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22-may-14</w:t>
            </w:r>
          </w:p>
        </w:tc>
        <w:tc>
          <w:tcPr>
            <w:tcW w:w="1596" w:type="dxa"/>
            <w:tcBorders>
              <w:top w:val="nil"/>
              <w:left w:val="nil"/>
              <w:bottom w:val="nil"/>
              <w:right w:val="single" w:sz="4" w:space="0" w:color="auto"/>
            </w:tcBorders>
            <w:shd w:val="clear" w:color="auto" w:fill="auto"/>
            <w:noWrap/>
            <w:vAlign w:val="bottom"/>
            <w:hideMark/>
          </w:tcPr>
          <w:p w14:paraId="4A7FDEA9"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1,810,330.00</w:t>
            </w:r>
          </w:p>
        </w:tc>
      </w:tr>
      <w:tr w:rsidR="00490EBC" w:rsidRPr="0084402E" w14:paraId="4C0E95EF"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2C297CBC"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4EA30339"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single" w:sz="4" w:space="0" w:color="auto"/>
              <w:right w:val="single" w:sz="4" w:space="0" w:color="auto"/>
            </w:tcBorders>
            <w:shd w:val="clear" w:color="auto" w:fill="auto"/>
            <w:noWrap/>
            <w:vAlign w:val="bottom"/>
            <w:hideMark/>
          </w:tcPr>
          <w:p w14:paraId="5EBF941F"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 </w:t>
            </w:r>
          </w:p>
        </w:tc>
        <w:tc>
          <w:tcPr>
            <w:tcW w:w="1596" w:type="dxa"/>
            <w:tcBorders>
              <w:top w:val="nil"/>
              <w:left w:val="nil"/>
              <w:bottom w:val="single" w:sz="4" w:space="0" w:color="auto"/>
              <w:right w:val="single" w:sz="4" w:space="0" w:color="auto"/>
            </w:tcBorders>
            <w:shd w:val="clear" w:color="auto" w:fill="auto"/>
            <w:noWrap/>
            <w:vAlign w:val="bottom"/>
            <w:hideMark/>
          </w:tcPr>
          <w:p w14:paraId="76A2511C" w14:textId="77777777" w:rsidR="00490EBC" w:rsidRPr="0084402E" w:rsidRDefault="00490EBC" w:rsidP="00490EBC">
            <w:pPr>
              <w:spacing w:after="0" w:line="240" w:lineRule="auto"/>
              <w:jc w:val="right"/>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4,525,825.00</w:t>
            </w:r>
          </w:p>
        </w:tc>
      </w:tr>
      <w:tr w:rsidR="00490EBC" w:rsidRPr="0084402E" w14:paraId="1B7BEA0A" w14:textId="77777777" w:rsidTr="00703FAB">
        <w:trPr>
          <w:trHeight w:val="300"/>
          <w:jc w:val="center"/>
        </w:trPr>
        <w:tc>
          <w:tcPr>
            <w:tcW w:w="1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9AC7EA"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JUN 9 Y 24</w:t>
            </w:r>
          </w:p>
        </w:tc>
        <w:tc>
          <w:tcPr>
            <w:tcW w:w="275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F450E5" w14:textId="77777777" w:rsidR="00490EBC" w:rsidRPr="0084402E" w:rsidRDefault="00490EBC" w:rsidP="00490EBC">
            <w:pPr>
              <w:spacing w:after="0" w:line="240" w:lineRule="auto"/>
              <w:jc w:val="center"/>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4,104,035.00</w:t>
            </w:r>
          </w:p>
        </w:tc>
        <w:tc>
          <w:tcPr>
            <w:tcW w:w="1203" w:type="dxa"/>
            <w:tcBorders>
              <w:top w:val="nil"/>
              <w:left w:val="nil"/>
              <w:bottom w:val="nil"/>
              <w:right w:val="single" w:sz="4" w:space="0" w:color="auto"/>
            </w:tcBorders>
            <w:shd w:val="clear" w:color="auto" w:fill="auto"/>
            <w:noWrap/>
            <w:vAlign w:val="bottom"/>
            <w:hideMark/>
          </w:tcPr>
          <w:p w14:paraId="69D048D1"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09-jun-14</w:t>
            </w:r>
          </w:p>
        </w:tc>
        <w:tc>
          <w:tcPr>
            <w:tcW w:w="1596" w:type="dxa"/>
            <w:tcBorders>
              <w:top w:val="nil"/>
              <w:left w:val="nil"/>
              <w:bottom w:val="nil"/>
              <w:right w:val="single" w:sz="4" w:space="0" w:color="auto"/>
            </w:tcBorders>
            <w:shd w:val="clear" w:color="auto" w:fill="auto"/>
            <w:noWrap/>
            <w:vAlign w:val="bottom"/>
            <w:hideMark/>
          </w:tcPr>
          <w:p w14:paraId="76865BC7"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2,462,419.00</w:t>
            </w:r>
          </w:p>
        </w:tc>
      </w:tr>
      <w:tr w:rsidR="00490EBC" w:rsidRPr="0084402E" w14:paraId="10219E49"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7BCE4823"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33B263FF"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5DB2FC16"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17-jun-14</w:t>
            </w:r>
          </w:p>
        </w:tc>
        <w:tc>
          <w:tcPr>
            <w:tcW w:w="1596" w:type="dxa"/>
            <w:tcBorders>
              <w:top w:val="nil"/>
              <w:left w:val="nil"/>
              <w:bottom w:val="nil"/>
              <w:right w:val="single" w:sz="4" w:space="0" w:color="auto"/>
            </w:tcBorders>
            <w:shd w:val="clear" w:color="auto" w:fill="auto"/>
            <w:noWrap/>
            <w:vAlign w:val="bottom"/>
            <w:hideMark/>
          </w:tcPr>
          <w:p w14:paraId="367DB8A7"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1,641,616.00</w:t>
            </w:r>
          </w:p>
        </w:tc>
      </w:tr>
      <w:tr w:rsidR="00490EBC" w:rsidRPr="0084402E" w14:paraId="6CE62DFD"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74C21229"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543F9F36"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single" w:sz="4" w:space="0" w:color="auto"/>
              <w:right w:val="single" w:sz="4" w:space="0" w:color="auto"/>
            </w:tcBorders>
            <w:shd w:val="clear" w:color="auto" w:fill="auto"/>
            <w:noWrap/>
            <w:vAlign w:val="bottom"/>
            <w:hideMark/>
          </w:tcPr>
          <w:p w14:paraId="27CBBF3F"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 </w:t>
            </w:r>
          </w:p>
        </w:tc>
        <w:tc>
          <w:tcPr>
            <w:tcW w:w="1596" w:type="dxa"/>
            <w:tcBorders>
              <w:top w:val="nil"/>
              <w:left w:val="nil"/>
              <w:bottom w:val="single" w:sz="4" w:space="0" w:color="auto"/>
              <w:right w:val="single" w:sz="4" w:space="0" w:color="auto"/>
            </w:tcBorders>
            <w:shd w:val="clear" w:color="auto" w:fill="auto"/>
            <w:noWrap/>
            <w:vAlign w:val="bottom"/>
            <w:hideMark/>
          </w:tcPr>
          <w:p w14:paraId="4E74AB8D" w14:textId="77777777" w:rsidR="00490EBC" w:rsidRPr="0084402E" w:rsidRDefault="00490EBC" w:rsidP="00490EBC">
            <w:pPr>
              <w:spacing w:after="0" w:line="240" w:lineRule="auto"/>
              <w:jc w:val="right"/>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4,104,035.00</w:t>
            </w:r>
          </w:p>
        </w:tc>
      </w:tr>
      <w:tr w:rsidR="00490EBC" w:rsidRPr="0084402E" w14:paraId="2AA75AEF" w14:textId="77777777" w:rsidTr="00703FAB">
        <w:trPr>
          <w:trHeight w:val="300"/>
          <w:jc w:val="center"/>
        </w:trPr>
        <w:tc>
          <w:tcPr>
            <w:tcW w:w="1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57F4715"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JUL 4 Y 25</w:t>
            </w:r>
          </w:p>
        </w:tc>
        <w:tc>
          <w:tcPr>
            <w:tcW w:w="275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ED6DA5B" w14:textId="77777777" w:rsidR="00490EBC" w:rsidRPr="0084402E" w:rsidRDefault="00490EBC" w:rsidP="00490EBC">
            <w:pPr>
              <w:spacing w:after="0" w:line="240" w:lineRule="auto"/>
              <w:jc w:val="center"/>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5,354,947.00</w:t>
            </w:r>
          </w:p>
        </w:tc>
        <w:tc>
          <w:tcPr>
            <w:tcW w:w="1203" w:type="dxa"/>
            <w:tcBorders>
              <w:top w:val="nil"/>
              <w:left w:val="nil"/>
              <w:bottom w:val="nil"/>
              <w:right w:val="single" w:sz="4" w:space="0" w:color="auto"/>
            </w:tcBorders>
            <w:shd w:val="clear" w:color="auto" w:fill="auto"/>
            <w:noWrap/>
            <w:vAlign w:val="bottom"/>
            <w:hideMark/>
          </w:tcPr>
          <w:p w14:paraId="638393D9"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07-jul-14</w:t>
            </w:r>
          </w:p>
        </w:tc>
        <w:tc>
          <w:tcPr>
            <w:tcW w:w="1596" w:type="dxa"/>
            <w:tcBorders>
              <w:top w:val="nil"/>
              <w:left w:val="nil"/>
              <w:bottom w:val="nil"/>
              <w:right w:val="single" w:sz="4" w:space="0" w:color="auto"/>
            </w:tcBorders>
            <w:shd w:val="clear" w:color="auto" w:fill="auto"/>
            <w:noWrap/>
            <w:vAlign w:val="bottom"/>
            <w:hideMark/>
          </w:tcPr>
          <w:p w14:paraId="49CBCDEA"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1,756,463.00</w:t>
            </w:r>
          </w:p>
        </w:tc>
      </w:tr>
      <w:tr w:rsidR="00490EBC" w:rsidRPr="0084402E" w14:paraId="73287AD0"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71583CE4"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6124EE43"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60D56EDB"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28-jul-14</w:t>
            </w:r>
          </w:p>
        </w:tc>
        <w:tc>
          <w:tcPr>
            <w:tcW w:w="1596" w:type="dxa"/>
            <w:tcBorders>
              <w:top w:val="nil"/>
              <w:left w:val="nil"/>
              <w:bottom w:val="nil"/>
              <w:right w:val="single" w:sz="4" w:space="0" w:color="auto"/>
            </w:tcBorders>
            <w:shd w:val="clear" w:color="auto" w:fill="auto"/>
            <w:noWrap/>
            <w:vAlign w:val="bottom"/>
            <w:hideMark/>
          </w:tcPr>
          <w:p w14:paraId="770AC4B0"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1,842,021.00</w:t>
            </w:r>
          </w:p>
        </w:tc>
      </w:tr>
      <w:tr w:rsidR="00490EBC" w:rsidRPr="0084402E" w14:paraId="7C5EC56A"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72FC6689"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57F6820A"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single" w:sz="4" w:space="0" w:color="auto"/>
              <w:right w:val="single" w:sz="4" w:space="0" w:color="auto"/>
            </w:tcBorders>
            <w:shd w:val="clear" w:color="auto" w:fill="auto"/>
            <w:noWrap/>
            <w:vAlign w:val="bottom"/>
            <w:hideMark/>
          </w:tcPr>
          <w:p w14:paraId="26E7A59B"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 </w:t>
            </w:r>
          </w:p>
        </w:tc>
        <w:tc>
          <w:tcPr>
            <w:tcW w:w="1596" w:type="dxa"/>
            <w:tcBorders>
              <w:top w:val="nil"/>
              <w:left w:val="nil"/>
              <w:bottom w:val="single" w:sz="4" w:space="0" w:color="auto"/>
              <w:right w:val="single" w:sz="4" w:space="0" w:color="auto"/>
            </w:tcBorders>
            <w:shd w:val="clear" w:color="auto" w:fill="auto"/>
            <w:noWrap/>
            <w:vAlign w:val="bottom"/>
            <w:hideMark/>
          </w:tcPr>
          <w:p w14:paraId="1FC8FB56" w14:textId="77777777" w:rsidR="00490EBC" w:rsidRPr="0084402E" w:rsidRDefault="00490EBC" w:rsidP="00490EBC">
            <w:pPr>
              <w:spacing w:after="0" w:line="240" w:lineRule="auto"/>
              <w:jc w:val="right"/>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3,598,484.00</w:t>
            </w:r>
          </w:p>
        </w:tc>
      </w:tr>
      <w:tr w:rsidR="00490EBC" w:rsidRPr="0084402E" w14:paraId="1A5BB521" w14:textId="77777777" w:rsidTr="00703FAB">
        <w:trPr>
          <w:trHeight w:val="300"/>
          <w:jc w:val="center"/>
        </w:trPr>
        <w:tc>
          <w:tcPr>
            <w:tcW w:w="1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C87608"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AGO 11 Y 25</w:t>
            </w:r>
          </w:p>
        </w:tc>
        <w:tc>
          <w:tcPr>
            <w:tcW w:w="275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764FAEE" w14:textId="77777777" w:rsidR="00490EBC" w:rsidRPr="0084402E" w:rsidRDefault="00490EBC" w:rsidP="00490EBC">
            <w:pPr>
              <w:spacing w:after="0" w:line="240" w:lineRule="auto"/>
              <w:jc w:val="center"/>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4,416,763.00</w:t>
            </w:r>
          </w:p>
        </w:tc>
        <w:tc>
          <w:tcPr>
            <w:tcW w:w="1203" w:type="dxa"/>
            <w:tcBorders>
              <w:top w:val="nil"/>
              <w:left w:val="nil"/>
              <w:bottom w:val="nil"/>
              <w:right w:val="single" w:sz="4" w:space="0" w:color="auto"/>
            </w:tcBorders>
            <w:shd w:val="clear" w:color="auto" w:fill="auto"/>
            <w:noWrap/>
            <w:vAlign w:val="bottom"/>
            <w:hideMark/>
          </w:tcPr>
          <w:p w14:paraId="57FB571F"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11-ago-14</w:t>
            </w:r>
          </w:p>
        </w:tc>
        <w:tc>
          <w:tcPr>
            <w:tcW w:w="1596" w:type="dxa"/>
            <w:tcBorders>
              <w:top w:val="nil"/>
              <w:left w:val="nil"/>
              <w:bottom w:val="nil"/>
              <w:right w:val="single" w:sz="4" w:space="0" w:color="auto"/>
            </w:tcBorders>
            <w:shd w:val="clear" w:color="auto" w:fill="auto"/>
            <w:noWrap/>
            <w:vAlign w:val="bottom"/>
            <w:hideMark/>
          </w:tcPr>
          <w:p w14:paraId="604A3838"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2,650,056.00</w:t>
            </w:r>
          </w:p>
        </w:tc>
      </w:tr>
      <w:tr w:rsidR="00490EBC" w:rsidRPr="0084402E" w14:paraId="565C72E0"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4B408556"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0547FFA0"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36264643"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20-ago-14</w:t>
            </w:r>
          </w:p>
        </w:tc>
        <w:tc>
          <w:tcPr>
            <w:tcW w:w="1596" w:type="dxa"/>
            <w:tcBorders>
              <w:top w:val="nil"/>
              <w:left w:val="nil"/>
              <w:bottom w:val="nil"/>
              <w:right w:val="single" w:sz="4" w:space="0" w:color="auto"/>
            </w:tcBorders>
            <w:shd w:val="clear" w:color="auto" w:fill="auto"/>
            <w:noWrap/>
            <w:vAlign w:val="bottom"/>
            <w:hideMark/>
          </w:tcPr>
          <w:p w14:paraId="75624776"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1,766,707.00</w:t>
            </w:r>
          </w:p>
        </w:tc>
      </w:tr>
      <w:tr w:rsidR="00490EBC" w:rsidRPr="0084402E" w14:paraId="2524CFF8"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33AFE2B4"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7D98D95F"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single" w:sz="4" w:space="0" w:color="auto"/>
              <w:right w:val="single" w:sz="4" w:space="0" w:color="auto"/>
            </w:tcBorders>
            <w:shd w:val="clear" w:color="auto" w:fill="auto"/>
            <w:noWrap/>
            <w:vAlign w:val="bottom"/>
            <w:hideMark/>
          </w:tcPr>
          <w:p w14:paraId="6BD80460"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 </w:t>
            </w:r>
          </w:p>
        </w:tc>
        <w:tc>
          <w:tcPr>
            <w:tcW w:w="1596" w:type="dxa"/>
            <w:tcBorders>
              <w:top w:val="nil"/>
              <w:left w:val="nil"/>
              <w:bottom w:val="single" w:sz="4" w:space="0" w:color="auto"/>
              <w:right w:val="single" w:sz="4" w:space="0" w:color="auto"/>
            </w:tcBorders>
            <w:shd w:val="clear" w:color="auto" w:fill="auto"/>
            <w:noWrap/>
            <w:vAlign w:val="bottom"/>
            <w:hideMark/>
          </w:tcPr>
          <w:p w14:paraId="592CC23F" w14:textId="77777777" w:rsidR="00490EBC" w:rsidRPr="0084402E" w:rsidRDefault="00490EBC" w:rsidP="00490EBC">
            <w:pPr>
              <w:spacing w:after="0" w:line="240" w:lineRule="auto"/>
              <w:jc w:val="right"/>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4,416,763.00</w:t>
            </w:r>
          </w:p>
        </w:tc>
      </w:tr>
      <w:tr w:rsidR="00490EBC" w:rsidRPr="0084402E" w14:paraId="1D35E12B" w14:textId="77777777" w:rsidTr="00703FAB">
        <w:trPr>
          <w:trHeight w:val="300"/>
          <w:jc w:val="center"/>
        </w:trPr>
        <w:tc>
          <w:tcPr>
            <w:tcW w:w="1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04B11D9"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lastRenderedPageBreak/>
              <w:t>SEP 9 Y 23</w:t>
            </w:r>
          </w:p>
        </w:tc>
        <w:tc>
          <w:tcPr>
            <w:tcW w:w="275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F86084" w14:textId="77777777" w:rsidR="00490EBC" w:rsidRPr="0084402E" w:rsidRDefault="00490EBC" w:rsidP="00490EBC">
            <w:pPr>
              <w:spacing w:after="0" w:line="240" w:lineRule="auto"/>
              <w:jc w:val="center"/>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5,354,947.00</w:t>
            </w:r>
          </w:p>
        </w:tc>
        <w:tc>
          <w:tcPr>
            <w:tcW w:w="1203" w:type="dxa"/>
            <w:tcBorders>
              <w:top w:val="nil"/>
              <w:left w:val="nil"/>
              <w:bottom w:val="nil"/>
              <w:right w:val="single" w:sz="4" w:space="0" w:color="auto"/>
            </w:tcBorders>
            <w:shd w:val="clear" w:color="auto" w:fill="auto"/>
            <w:noWrap/>
            <w:vAlign w:val="bottom"/>
            <w:hideMark/>
          </w:tcPr>
          <w:p w14:paraId="159B61A7"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09-sep-14</w:t>
            </w:r>
          </w:p>
        </w:tc>
        <w:tc>
          <w:tcPr>
            <w:tcW w:w="1596" w:type="dxa"/>
            <w:tcBorders>
              <w:top w:val="nil"/>
              <w:left w:val="nil"/>
              <w:bottom w:val="nil"/>
              <w:right w:val="single" w:sz="4" w:space="0" w:color="auto"/>
            </w:tcBorders>
            <w:shd w:val="clear" w:color="auto" w:fill="auto"/>
            <w:noWrap/>
            <w:vAlign w:val="bottom"/>
            <w:hideMark/>
          </w:tcPr>
          <w:p w14:paraId="04FDF1E7"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3,212,967.00</w:t>
            </w:r>
          </w:p>
        </w:tc>
      </w:tr>
      <w:tr w:rsidR="00490EBC" w:rsidRPr="0084402E" w14:paraId="3BFAB00C"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370BF594"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60D90921"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01401314"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22-sep-14</w:t>
            </w:r>
          </w:p>
        </w:tc>
        <w:tc>
          <w:tcPr>
            <w:tcW w:w="1596" w:type="dxa"/>
            <w:tcBorders>
              <w:top w:val="nil"/>
              <w:left w:val="nil"/>
              <w:bottom w:val="nil"/>
              <w:right w:val="single" w:sz="4" w:space="0" w:color="auto"/>
            </w:tcBorders>
            <w:shd w:val="clear" w:color="auto" w:fill="auto"/>
            <w:noWrap/>
            <w:vAlign w:val="bottom"/>
            <w:hideMark/>
          </w:tcPr>
          <w:p w14:paraId="1228A2D0"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2,141,980.00</w:t>
            </w:r>
          </w:p>
        </w:tc>
      </w:tr>
      <w:tr w:rsidR="00490EBC" w:rsidRPr="0084402E" w14:paraId="1B0439AE"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1B40A154"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1979D0F6"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single" w:sz="4" w:space="0" w:color="auto"/>
              <w:right w:val="single" w:sz="4" w:space="0" w:color="auto"/>
            </w:tcBorders>
            <w:shd w:val="clear" w:color="auto" w:fill="auto"/>
            <w:noWrap/>
            <w:vAlign w:val="bottom"/>
            <w:hideMark/>
          </w:tcPr>
          <w:p w14:paraId="71521EBE"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 </w:t>
            </w:r>
          </w:p>
        </w:tc>
        <w:tc>
          <w:tcPr>
            <w:tcW w:w="1596" w:type="dxa"/>
            <w:tcBorders>
              <w:top w:val="nil"/>
              <w:left w:val="nil"/>
              <w:bottom w:val="single" w:sz="4" w:space="0" w:color="auto"/>
              <w:right w:val="single" w:sz="4" w:space="0" w:color="auto"/>
            </w:tcBorders>
            <w:shd w:val="clear" w:color="auto" w:fill="auto"/>
            <w:noWrap/>
            <w:vAlign w:val="bottom"/>
            <w:hideMark/>
          </w:tcPr>
          <w:p w14:paraId="767253C2" w14:textId="77777777" w:rsidR="00490EBC" w:rsidRPr="0084402E" w:rsidRDefault="00490EBC" w:rsidP="00490EBC">
            <w:pPr>
              <w:spacing w:after="0" w:line="240" w:lineRule="auto"/>
              <w:jc w:val="right"/>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5,354,947.00</w:t>
            </w:r>
          </w:p>
        </w:tc>
      </w:tr>
      <w:tr w:rsidR="00490EBC" w:rsidRPr="0084402E" w14:paraId="6385FA75" w14:textId="77777777" w:rsidTr="00703FAB">
        <w:trPr>
          <w:trHeight w:val="300"/>
          <w:jc w:val="center"/>
        </w:trPr>
        <w:tc>
          <w:tcPr>
            <w:tcW w:w="1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C2599F6"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OCT 9 Y 24</w:t>
            </w:r>
          </w:p>
        </w:tc>
        <w:tc>
          <w:tcPr>
            <w:tcW w:w="275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9902C5D" w14:textId="77777777" w:rsidR="00490EBC" w:rsidRPr="0084402E" w:rsidRDefault="00490EBC" w:rsidP="00490EBC">
            <w:pPr>
              <w:spacing w:after="0" w:line="240" w:lineRule="auto"/>
              <w:jc w:val="center"/>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4,104,035.00</w:t>
            </w:r>
          </w:p>
        </w:tc>
        <w:tc>
          <w:tcPr>
            <w:tcW w:w="1203" w:type="dxa"/>
            <w:tcBorders>
              <w:top w:val="nil"/>
              <w:left w:val="nil"/>
              <w:bottom w:val="nil"/>
              <w:right w:val="single" w:sz="4" w:space="0" w:color="auto"/>
            </w:tcBorders>
            <w:shd w:val="clear" w:color="auto" w:fill="auto"/>
            <w:noWrap/>
            <w:vAlign w:val="bottom"/>
            <w:hideMark/>
          </w:tcPr>
          <w:p w14:paraId="4B02B5E4"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09-oct-14</w:t>
            </w:r>
          </w:p>
        </w:tc>
        <w:tc>
          <w:tcPr>
            <w:tcW w:w="1596" w:type="dxa"/>
            <w:tcBorders>
              <w:top w:val="nil"/>
              <w:left w:val="nil"/>
              <w:bottom w:val="nil"/>
              <w:right w:val="single" w:sz="4" w:space="0" w:color="auto"/>
            </w:tcBorders>
            <w:shd w:val="clear" w:color="auto" w:fill="auto"/>
            <w:noWrap/>
            <w:vAlign w:val="bottom"/>
            <w:hideMark/>
          </w:tcPr>
          <w:p w14:paraId="4208B7F5"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2,462,419.00</w:t>
            </w:r>
          </w:p>
        </w:tc>
      </w:tr>
      <w:tr w:rsidR="00490EBC" w:rsidRPr="0084402E" w14:paraId="394AE9AE"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25E64D25"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0F2A5AD6"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66EB87C6"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20-oct-14</w:t>
            </w:r>
          </w:p>
        </w:tc>
        <w:tc>
          <w:tcPr>
            <w:tcW w:w="1596" w:type="dxa"/>
            <w:tcBorders>
              <w:top w:val="nil"/>
              <w:left w:val="nil"/>
              <w:bottom w:val="nil"/>
              <w:right w:val="single" w:sz="4" w:space="0" w:color="auto"/>
            </w:tcBorders>
            <w:shd w:val="clear" w:color="auto" w:fill="auto"/>
            <w:noWrap/>
            <w:vAlign w:val="bottom"/>
            <w:hideMark/>
          </w:tcPr>
          <w:p w14:paraId="74C4B46F"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1,641,616.00</w:t>
            </w:r>
          </w:p>
        </w:tc>
      </w:tr>
      <w:tr w:rsidR="00490EBC" w:rsidRPr="0084402E" w14:paraId="62D533BE"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09F38CA9"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5F67D7B4"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single" w:sz="4" w:space="0" w:color="auto"/>
              <w:right w:val="single" w:sz="4" w:space="0" w:color="auto"/>
            </w:tcBorders>
            <w:shd w:val="clear" w:color="auto" w:fill="auto"/>
            <w:noWrap/>
            <w:vAlign w:val="bottom"/>
            <w:hideMark/>
          </w:tcPr>
          <w:p w14:paraId="2DCB09F4"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 </w:t>
            </w:r>
          </w:p>
        </w:tc>
        <w:tc>
          <w:tcPr>
            <w:tcW w:w="1596" w:type="dxa"/>
            <w:tcBorders>
              <w:top w:val="nil"/>
              <w:left w:val="nil"/>
              <w:bottom w:val="single" w:sz="4" w:space="0" w:color="auto"/>
              <w:right w:val="single" w:sz="4" w:space="0" w:color="auto"/>
            </w:tcBorders>
            <w:shd w:val="clear" w:color="auto" w:fill="auto"/>
            <w:noWrap/>
            <w:vAlign w:val="bottom"/>
            <w:hideMark/>
          </w:tcPr>
          <w:p w14:paraId="6149AF41" w14:textId="77777777" w:rsidR="00490EBC" w:rsidRPr="0084402E" w:rsidRDefault="00490EBC" w:rsidP="00490EBC">
            <w:pPr>
              <w:spacing w:after="0" w:line="240" w:lineRule="auto"/>
              <w:jc w:val="right"/>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4,104,035.00</w:t>
            </w:r>
          </w:p>
        </w:tc>
      </w:tr>
      <w:tr w:rsidR="00490EBC" w:rsidRPr="0084402E" w14:paraId="4841DACB" w14:textId="77777777" w:rsidTr="00703FAB">
        <w:trPr>
          <w:trHeight w:val="300"/>
          <w:jc w:val="center"/>
        </w:trPr>
        <w:tc>
          <w:tcPr>
            <w:tcW w:w="1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82EE5C7"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NOV 10 Y 24</w:t>
            </w:r>
          </w:p>
        </w:tc>
        <w:tc>
          <w:tcPr>
            <w:tcW w:w="275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31D065" w14:textId="77777777" w:rsidR="00490EBC" w:rsidRPr="0084402E" w:rsidRDefault="00490EBC" w:rsidP="00490EBC">
            <w:pPr>
              <w:spacing w:after="0" w:line="240" w:lineRule="auto"/>
              <w:jc w:val="center"/>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5,769,929.00</w:t>
            </w:r>
          </w:p>
        </w:tc>
        <w:tc>
          <w:tcPr>
            <w:tcW w:w="1203" w:type="dxa"/>
            <w:tcBorders>
              <w:top w:val="nil"/>
              <w:left w:val="nil"/>
              <w:bottom w:val="nil"/>
              <w:right w:val="single" w:sz="4" w:space="0" w:color="auto"/>
            </w:tcBorders>
            <w:shd w:val="clear" w:color="auto" w:fill="auto"/>
            <w:noWrap/>
            <w:vAlign w:val="bottom"/>
            <w:hideMark/>
          </w:tcPr>
          <w:p w14:paraId="54148902"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10-nov-14</w:t>
            </w:r>
          </w:p>
        </w:tc>
        <w:tc>
          <w:tcPr>
            <w:tcW w:w="1596" w:type="dxa"/>
            <w:tcBorders>
              <w:top w:val="nil"/>
              <w:left w:val="nil"/>
              <w:bottom w:val="nil"/>
              <w:right w:val="single" w:sz="4" w:space="0" w:color="auto"/>
            </w:tcBorders>
            <w:shd w:val="clear" w:color="auto" w:fill="auto"/>
            <w:noWrap/>
            <w:vAlign w:val="bottom"/>
            <w:hideMark/>
          </w:tcPr>
          <w:p w14:paraId="32D8F528"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3,531,481.00</w:t>
            </w:r>
          </w:p>
        </w:tc>
      </w:tr>
      <w:tr w:rsidR="00490EBC" w:rsidRPr="0084402E" w14:paraId="5B1CED2D"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217380BB"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671E3762"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0D3FA650"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12-nov-14</w:t>
            </w:r>
          </w:p>
        </w:tc>
        <w:tc>
          <w:tcPr>
            <w:tcW w:w="1596" w:type="dxa"/>
            <w:tcBorders>
              <w:top w:val="nil"/>
              <w:left w:val="nil"/>
              <w:bottom w:val="nil"/>
              <w:right w:val="single" w:sz="4" w:space="0" w:color="auto"/>
            </w:tcBorders>
            <w:shd w:val="clear" w:color="auto" w:fill="auto"/>
            <w:noWrap/>
            <w:vAlign w:val="bottom"/>
            <w:hideMark/>
          </w:tcPr>
          <w:p w14:paraId="5DDBFA44"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2,354,323.00</w:t>
            </w:r>
          </w:p>
        </w:tc>
      </w:tr>
      <w:tr w:rsidR="00490EBC" w:rsidRPr="0084402E" w14:paraId="5178A4CF"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7FC3B574"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121528BE"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50C8AF67"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20-nov-14</w:t>
            </w:r>
          </w:p>
        </w:tc>
        <w:tc>
          <w:tcPr>
            <w:tcW w:w="1596" w:type="dxa"/>
            <w:tcBorders>
              <w:top w:val="nil"/>
              <w:left w:val="nil"/>
              <w:bottom w:val="nil"/>
              <w:right w:val="single" w:sz="4" w:space="0" w:color="auto"/>
            </w:tcBorders>
            <w:shd w:val="clear" w:color="auto" w:fill="auto"/>
            <w:noWrap/>
            <w:vAlign w:val="bottom"/>
            <w:hideMark/>
          </w:tcPr>
          <w:p w14:paraId="3DFDECF7"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35,550.00</w:t>
            </w:r>
          </w:p>
        </w:tc>
      </w:tr>
      <w:tr w:rsidR="00490EBC" w:rsidRPr="0084402E" w14:paraId="39F08D36"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1C577451"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6215F61B"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single" w:sz="4" w:space="0" w:color="auto"/>
              <w:right w:val="single" w:sz="4" w:space="0" w:color="auto"/>
            </w:tcBorders>
            <w:shd w:val="clear" w:color="auto" w:fill="auto"/>
            <w:noWrap/>
            <w:vAlign w:val="bottom"/>
            <w:hideMark/>
          </w:tcPr>
          <w:p w14:paraId="7F8F49DD"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 </w:t>
            </w:r>
          </w:p>
        </w:tc>
        <w:tc>
          <w:tcPr>
            <w:tcW w:w="1596" w:type="dxa"/>
            <w:tcBorders>
              <w:top w:val="nil"/>
              <w:left w:val="nil"/>
              <w:bottom w:val="single" w:sz="4" w:space="0" w:color="auto"/>
              <w:right w:val="single" w:sz="4" w:space="0" w:color="auto"/>
            </w:tcBorders>
            <w:shd w:val="clear" w:color="auto" w:fill="auto"/>
            <w:noWrap/>
            <w:vAlign w:val="bottom"/>
            <w:hideMark/>
          </w:tcPr>
          <w:p w14:paraId="37119E3E" w14:textId="77777777" w:rsidR="00490EBC" w:rsidRPr="0084402E" w:rsidRDefault="00490EBC" w:rsidP="00490EBC">
            <w:pPr>
              <w:spacing w:after="0" w:line="240" w:lineRule="auto"/>
              <w:jc w:val="right"/>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5,921,354.00</w:t>
            </w:r>
          </w:p>
        </w:tc>
      </w:tr>
      <w:tr w:rsidR="00490EBC" w:rsidRPr="0084402E" w14:paraId="0E0C478D" w14:textId="77777777" w:rsidTr="00703FAB">
        <w:trPr>
          <w:trHeight w:val="300"/>
          <w:jc w:val="center"/>
        </w:trPr>
        <w:tc>
          <w:tcPr>
            <w:tcW w:w="178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C661E8B" w14:textId="77777777" w:rsidR="00490EBC" w:rsidRPr="0084402E" w:rsidRDefault="00490EBC" w:rsidP="00490EBC">
            <w:pPr>
              <w:spacing w:after="0" w:line="240" w:lineRule="auto"/>
              <w:jc w:val="center"/>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DIC 5 Y 10</w:t>
            </w:r>
          </w:p>
        </w:tc>
        <w:tc>
          <w:tcPr>
            <w:tcW w:w="275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4AE90BD" w14:textId="77777777" w:rsidR="00490EBC" w:rsidRPr="0084402E" w:rsidRDefault="00490EBC" w:rsidP="00490EBC">
            <w:pPr>
              <w:spacing w:after="0" w:line="240" w:lineRule="auto"/>
              <w:jc w:val="center"/>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6,508,288.00</w:t>
            </w:r>
          </w:p>
        </w:tc>
        <w:tc>
          <w:tcPr>
            <w:tcW w:w="1203" w:type="dxa"/>
            <w:tcBorders>
              <w:top w:val="nil"/>
              <w:left w:val="nil"/>
              <w:bottom w:val="nil"/>
              <w:right w:val="single" w:sz="4" w:space="0" w:color="auto"/>
            </w:tcBorders>
            <w:shd w:val="clear" w:color="auto" w:fill="auto"/>
            <w:noWrap/>
            <w:vAlign w:val="bottom"/>
            <w:hideMark/>
          </w:tcPr>
          <w:p w14:paraId="47F37F1F"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05-dic-14</w:t>
            </w:r>
          </w:p>
        </w:tc>
        <w:tc>
          <w:tcPr>
            <w:tcW w:w="1596" w:type="dxa"/>
            <w:tcBorders>
              <w:top w:val="nil"/>
              <w:left w:val="nil"/>
              <w:bottom w:val="nil"/>
              <w:right w:val="single" w:sz="4" w:space="0" w:color="auto"/>
            </w:tcBorders>
            <w:shd w:val="clear" w:color="auto" w:fill="auto"/>
            <w:noWrap/>
            <w:vAlign w:val="bottom"/>
            <w:hideMark/>
          </w:tcPr>
          <w:p w14:paraId="6360A7A5"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3,986,138.00</w:t>
            </w:r>
          </w:p>
        </w:tc>
      </w:tr>
      <w:tr w:rsidR="00490EBC" w:rsidRPr="0084402E" w14:paraId="67798836"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0821A133"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0D31E51E"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4E2F5D3B"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10-dic-14</w:t>
            </w:r>
          </w:p>
        </w:tc>
        <w:tc>
          <w:tcPr>
            <w:tcW w:w="1596" w:type="dxa"/>
            <w:tcBorders>
              <w:top w:val="nil"/>
              <w:left w:val="nil"/>
              <w:bottom w:val="nil"/>
              <w:right w:val="single" w:sz="4" w:space="0" w:color="auto"/>
            </w:tcBorders>
            <w:shd w:val="clear" w:color="auto" w:fill="auto"/>
            <w:noWrap/>
            <w:vAlign w:val="bottom"/>
            <w:hideMark/>
          </w:tcPr>
          <w:p w14:paraId="0A187628"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2,657,425.00</w:t>
            </w:r>
          </w:p>
        </w:tc>
      </w:tr>
      <w:tr w:rsidR="00490EBC" w:rsidRPr="0084402E" w14:paraId="6878A796"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3C6B7BD9"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027B13D2"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46B4068D"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26-oct-14</w:t>
            </w:r>
          </w:p>
        </w:tc>
        <w:tc>
          <w:tcPr>
            <w:tcW w:w="1596" w:type="dxa"/>
            <w:tcBorders>
              <w:top w:val="nil"/>
              <w:left w:val="nil"/>
              <w:bottom w:val="nil"/>
              <w:right w:val="single" w:sz="4" w:space="0" w:color="auto"/>
            </w:tcBorders>
            <w:shd w:val="clear" w:color="auto" w:fill="auto"/>
            <w:noWrap/>
            <w:vAlign w:val="bottom"/>
            <w:hideMark/>
          </w:tcPr>
          <w:p w14:paraId="036C2FF6"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1,224,555.00</w:t>
            </w:r>
          </w:p>
        </w:tc>
      </w:tr>
      <w:tr w:rsidR="00490EBC" w:rsidRPr="0084402E" w14:paraId="74709F21"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77C220AC"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6D6C5800"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nil"/>
              <w:right w:val="single" w:sz="4" w:space="0" w:color="auto"/>
            </w:tcBorders>
            <w:shd w:val="clear" w:color="auto" w:fill="auto"/>
            <w:noWrap/>
            <w:vAlign w:val="bottom"/>
            <w:hideMark/>
          </w:tcPr>
          <w:p w14:paraId="7078D908"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30-dic-14</w:t>
            </w:r>
          </w:p>
        </w:tc>
        <w:tc>
          <w:tcPr>
            <w:tcW w:w="1596" w:type="dxa"/>
            <w:tcBorders>
              <w:top w:val="nil"/>
              <w:left w:val="nil"/>
              <w:bottom w:val="nil"/>
              <w:right w:val="single" w:sz="4" w:space="0" w:color="auto"/>
            </w:tcBorders>
            <w:shd w:val="clear" w:color="auto" w:fill="auto"/>
            <w:noWrap/>
            <w:vAlign w:val="bottom"/>
            <w:hideMark/>
          </w:tcPr>
          <w:p w14:paraId="672AEA6F" w14:textId="77777777" w:rsidR="00490EBC" w:rsidRPr="0084402E" w:rsidRDefault="00490EBC" w:rsidP="00490EBC">
            <w:pPr>
              <w:spacing w:after="0" w:line="240" w:lineRule="auto"/>
              <w:jc w:val="right"/>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261,145.00</w:t>
            </w:r>
          </w:p>
        </w:tc>
      </w:tr>
      <w:tr w:rsidR="00490EBC" w:rsidRPr="0084402E" w14:paraId="270F3921" w14:textId="77777777" w:rsidTr="00703FAB">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14:paraId="1F95AA07"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p>
        </w:tc>
        <w:tc>
          <w:tcPr>
            <w:tcW w:w="2753" w:type="dxa"/>
            <w:vMerge/>
            <w:tcBorders>
              <w:top w:val="nil"/>
              <w:left w:val="single" w:sz="4" w:space="0" w:color="auto"/>
              <w:bottom w:val="single" w:sz="4" w:space="0" w:color="auto"/>
              <w:right w:val="single" w:sz="4" w:space="0" w:color="auto"/>
            </w:tcBorders>
            <w:vAlign w:val="center"/>
            <w:hideMark/>
          </w:tcPr>
          <w:p w14:paraId="4BA89DE4" w14:textId="77777777" w:rsidR="00490EBC" w:rsidRPr="0084402E" w:rsidRDefault="00490EBC" w:rsidP="00490EBC">
            <w:pPr>
              <w:spacing w:after="0" w:line="240" w:lineRule="auto"/>
              <w:rPr>
                <w:rFonts w:ascii="Calibri" w:eastAsia="Times New Roman" w:hAnsi="Calibri" w:cs="Calibri"/>
                <w:b/>
                <w:bCs/>
                <w:color w:val="000000"/>
                <w:sz w:val="24"/>
                <w:szCs w:val="24"/>
                <w:lang w:eastAsia="es-MX"/>
              </w:rPr>
            </w:pPr>
          </w:p>
        </w:tc>
        <w:tc>
          <w:tcPr>
            <w:tcW w:w="1203" w:type="dxa"/>
            <w:tcBorders>
              <w:top w:val="nil"/>
              <w:left w:val="nil"/>
              <w:bottom w:val="single" w:sz="4" w:space="0" w:color="auto"/>
              <w:right w:val="single" w:sz="4" w:space="0" w:color="auto"/>
            </w:tcBorders>
            <w:shd w:val="clear" w:color="auto" w:fill="auto"/>
            <w:noWrap/>
            <w:vAlign w:val="bottom"/>
            <w:hideMark/>
          </w:tcPr>
          <w:p w14:paraId="1EBE1B62"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 </w:t>
            </w:r>
          </w:p>
        </w:tc>
        <w:tc>
          <w:tcPr>
            <w:tcW w:w="1596" w:type="dxa"/>
            <w:tcBorders>
              <w:top w:val="nil"/>
              <w:left w:val="nil"/>
              <w:bottom w:val="single" w:sz="4" w:space="0" w:color="auto"/>
              <w:right w:val="single" w:sz="4" w:space="0" w:color="auto"/>
            </w:tcBorders>
            <w:shd w:val="clear" w:color="auto" w:fill="auto"/>
            <w:noWrap/>
            <w:vAlign w:val="bottom"/>
            <w:hideMark/>
          </w:tcPr>
          <w:p w14:paraId="7E2D331F" w14:textId="77777777" w:rsidR="00490EBC" w:rsidRPr="0084402E" w:rsidRDefault="00490EBC" w:rsidP="00490EBC">
            <w:pPr>
              <w:spacing w:after="0" w:line="240" w:lineRule="auto"/>
              <w:jc w:val="right"/>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8,129,263.00</w:t>
            </w:r>
          </w:p>
        </w:tc>
      </w:tr>
      <w:tr w:rsidR="00490EBC" w:rsidRPr="0084402E" w14:paraId="6673B9D3" w14:textId="77777777" w:rsidTr="00703FAB">
        <w:trPr>
          <w:trHeight w:val="300"/>
          <w:jc w:val="center"/>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14:paraId="0E0F6D0D"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 xml:space="preserve">TOTAL </w:t>
            </w:r>
          </w:p>
        </w:tc>
        <w:tc>
          <w:tcPr>
            <w:tcW w:w="2753" w:type="dxa"/>
            <w:tcBorders>
              <w:top w:val="nil"/>
              <w:left w:val="nil"/>
              <w:bottom w:val="single" w:sz="4" w:space="0" w:color="auto"/>
              <w:right w:val="single" w:sz="4" w:space="0" w:color="auto"/>
            </w:tcBorders>
            <w:shd w:val="clear" w:color="auto" w:fill="auto"/>
            <w:noWrap/>
            <w:vAlign w:val="bottom"/>
            <w:hideMark/>
          </w:tcPr>
          <w:p w14:paraId="00D738D5" w14:textId="77777777" w:rsidR="00490EBC" w:rsidRPr="0084402E" w:rsidRDefault="00490EBC" w:rsidP="00490EBC">
            <w:pPr>
              <w:spacing w:after="0" w:line="240" w:lineRule="auto"/>
              <w:jc w:val="right"/>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61,830,968.00</w:t>
            </w:r>
          </w:p>
        </w:tc>
        <w:tc>
          <w:tcPr>
            <w:tcW w:w="1203" w:type="dxa"/>
            <w:tcBorders>
              <w:top w:val="nil"/>
              <w:left w:val="nil"/>
              <w:bottom w:val="single" w:sz="4" w:space="0" w:color="auto"/>
              <w:right w:val="single" w:sz="4" w:space="0" w:color="auto"/>
            </w:tcBorders>
            <w:shd w:val="clear" w:color="auto" w:fill="auto"/>
            <w:noWrap/>
            <w:vAlign w:val="bottom"/>
            <w:hideMark/>
          </w:tcPr>
          <w:p w14:paraId="5BAC0431" w14:textId="77777777" w:rsidR="00490EBC" w:rsidRPr="0084402E" w:rsidRDefault="00490EBC" w:rsidP="00490EBC">
            <w:pPr>
              <w:spacing w:after="0" w:line="240" w:lineRule="auto"/>
              <w:rPr>
                <w:rFonts w:ascii="Calibri" w:eastAsia="Times New Roman" w:hAnsi="Calibri" w:cs="Calibri"/>
                <w:color w:val="000000"/>
                <w:sz w:val="24"/>
                <w:szCs w:val="24"/>
                <w:lang w:eastAsia="es-MX"/>
              </w:rPr>
            </w:pPr>
            <w:r w:rsidRPr="0084402E">
              <w:rPr>
                <w:rFonts w:ascii="Calibri" w:eastAsia="Times New Roman" w:hAnsi="Calibri" w:cs="Calibri"/>
                <w:color w:val="000000"/>
                <w:sz w:val="24"/>
                <w:szCs w:val="24"/>
                <w:lang w:eastAsia="es-MX"/>
              </w:rPr>
              <w:t> </w:t>
            </w:r>
          </w:p>
        </w:tc>
        <w:tc>
          <w:tcPr>
            <w:tcW w:w="1596" w:type="dxa"/>
            <w:tcBorders>
              <w:top w:val="nil"/>
              <w:left w:val="nil"/>
              <w:bottom w:val="single" w:sz="4" w:space="0" w:color="auto"/>
              <w:right w:val="single" w:sz="4" w:space="0" w:color="auto"/>
            </w:tcBorders>
            <w:shd w:val="clear" w:color="auto" w:fill="auto"/>
            <w:noWrap/>
            <w:vAlign w:val="bottom"/>
            <w:hideMark/>
          </w:tcPr>
          <w:p w14:paraId="7129AA35" w14:textId="77777777" w:rsidR="00490EBC" w:rsidRPr="0084402E" w:rsidRDefault="00490EBC" w:rsidP="00490EBC">
            <w:pPr>
              <w:spacing w:after="0" w:line="240" w:lineRule="auto"/>
              <w:jc w:val="right"/>
              <w:rPr>
                <w:rFonts w:ascii="Calibri" w:eastAsia="Times New Roman" w:hAnsi="Calibri" w:cs="Calibri"/>
                <w:b/>
                <w:bCs/>
                <w:color w:val="000000"/>
                <w:sz w:val="24"/>
                <w:szCs w:val="24"/>
                <w:lang w:eastAsia="es-MX"/>
              </w:rPr>
            </w:pPr>
            <w:r w:rsidRPr="0084402E">
              <w:rPr>
                <w:rFonts w:ascii="Calibri" w:eastAsia="Times New Roman" w:hAnsi="Calibri" w:cs="Calibri"/>
                <w:b/>
                <w:bCs/>
                <w:color w:val="000000"/>
                <w:sz w:val="24"/>
                <w:szCs w:val="24"/>
                <w:lang w:eastAsia="es-MX"/>
              </w:rPr>
              <w:t>61,846,905.00</w:t>
            </w:r>
          </w:p>
        </w:tc>
      </w:tr>
      <w:tr w:rsidR="00490EBC" w:rsidRPr="00197E7F" w14:paraId="7CD5FD71" w14:textId="77777777" w:rsidTr="00703FAB">
        <w:trPr>
          <w:trHeight w:val="307"/>
          <w:jc w:val="center"/>
        </w:trPr>
        <w:tc>
          <w:tcPr>
            <w:tcW w:w="7340" w:type="dxa"/>
            <w:gridSpan w:val="4"/>
            <w:tcBorders>
              <w:top w:val="single" w:sz="4" w:space="0" w:color="auto"/>
              <w:left w:val="nil"/>
              <w:bottom w:val="nil"/>
              <w:right w:val="nil"/>
            </w:tcBorders>
            <w:shd w:val="clear" w:color="auto" w:fill="auto"/>
            <w:hideMark/>
          </w:tcPr>
          <w:p w14:paraId="00ACB630" w14:textId="25626E8F" w:rsidR="00490EBC" w:rsidRPr="00197E7F" w:rsidRDefault="00490EBC" w:rsidP="00197E7F">
            <w:pPr>
              <w:spacing w:after="0" w:line="240" w:lineRule="auto"/>
              <w:jc w:val="both"/>
              <w:rPr>
                <w:rFonts w:ascii="Arial" w:eastAsia="Times New Roman" w:hAnsi="Arial" w:cs="Arial"/>
                <w:b/>
                <w:color w:val="000000"/>
                <w:sz w:val="20"/>
                <w:szCs w:val="24"/>
                <w:lang w:eastAsia="es-MX"/>
              </w:rPr>
            </w:pPr>
            <w:r w:rsidRPr="00197E7F">
              <w:rPr>
                <w:rFonts w:ascii="Arial" w:eastAsia="Times New Roman" w:hAnsi="Arial" w:cs="Arial"/>
                <w:b/>
                <w:color w:val="000000"/>
                <w:sz w:val="20"/>
                <w:szCs w:val="24"/>
                <w:lang w:eastAsia="es-MX"/>
              </w:rPr>
              <w:t xml:space="preserve">Fuente: 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 </w:t>
            </w:r>
            <w:r w:rsidR="00197E7F">
              <w:rPr>
                <w:rFonts w:ascii="Arial" w:eastAsia="Times New Roman" w:hAnsi="Arial" w:cs="Arial"/>
                <w:b/>
                <w:color w:val="000000"/>
                <w:sz w:val="20"/>
                <w:szCs w:val="24"/>
                <w:lang w:eastAsia="es-MX"/>
              </w:rPr>
              <w:t xml:space="preserve">(DOF: 24 de diciembre de 2013); </w:t>
            </w:r>
            <w:r w:rsidRPr="00197E7F">
              <w:rPr>
                <w:rFonts w:ascii="Arial" w:eastAsia="Times New Roman" w:hAnsi="Arial" w:cs="Arial"/>
                <w:b/>
                <w:color w:val="000000"/>
                <w:sz w:val="20"/>
                <w:szCs w:val="24"/>
                <w:lang w:eastAsia="es-MX"/>
              </w:rPr>
              <w:t>Recibos de ministraciones, del IEAEY a la Secretaría de Administración</w:t>
            </w:r>
            <w:r w:rsidR="000E4D9A" w:rsidRPr="00197E7F">
              <w:rPr>
                <w:rFonts w:ascii="Arial" w:eastAsia="Times New Roman" w:hAnsi="Arial" w:cs="Arial"/>
                <w:b/>
                <w:color w:val="000000"/>
                <w:sz w:val="20"/>
                <w:szCs w:val="24"/>
                <w:lang w:eastAsia="es-MX"/>
              </w:rPr>
              <w:t xml:space="preserve"> y Finanzas del estado de Yucatá</w:t>
            </w:r>
            <w:r w:rsidRPr="00197E7F">
              <w:rPr>
                <w:rFonts w:ascii="Arial" w:eastAsia="Times New Roman" w:hAnsi="Arial" w:cs="Arial"/>
                <w:b/>
                <w:color w:val="000000"/>
                <w:sz w:val="20"/>
                <w:szCs w:val="24"/>
                <w:lang w:eastAsia="es-MX"/>
              </w:rPr>
              <w:t>n.</w:t>
            </w:r>
          </w:p>
        </w:tc>
      </w:tr>
    </w:tbl>
    <w:p w14:paraId="3868C61F" w14:textId="77777777" w:rsidR="00666190" w:rsidRPr="0084402E" w:rsidRDefault="00666190" w:rsidP="002D4695">
      <w:pPr>
        <w:autoSpaceDE w:val="0"/>
        <w:autoSpaceDN w:val="0"/>
        <w:adjustRightInd w:val="0"/>
        <w:spacing w:after="0" w:line="360" w:lineRule="auto"/>
        <w:jc w:val="both"/>
        <w:rPr>
          <w:rFonts w:ascii="Arial" w:eastAsiaTheme="minorEastAsia" w:hAnsi="Arial" w:cs="Arial"/>
          <w:color w:val="000000"/>
          <w:sz w:val="24"/>
          <w:szCs w:val="24"/>
        </w:rPr>
      </w:pPr>
    </w:p>
    <w:p w14:paraId="26857233" w14:textId="77777777" w:rsidR="00A61E93" w:rsidRPr="0084402E" w:rsidRDefault="00A61E93" w:rsidP="004C0514">
      <w:pPr>
        <w:spacing w:after="0" w:line="360" w:lineRule="auto"/>
        <w:rPr>
          <w:rFonts w:ascii="Arial" w:eastAsiaTheme="minorEastAsia" w:hAnsi="Arial" w:cs="Arial"/>
          <w:color w:val="000000"/>
          <w:sz w:val="24"/>
          <w:szCs w:val="24"/>
        </w:rPr>
      </w:pPr>
      <w:r w:rsidRPr="0084402E">
        <w:rPr>
          <w:rFonts w:ascii="Arial" w:eastAsiaTheme="minorEastAsia" w:hAnsi="Arial" w:cs="Arial"/>
          <w:color w:val="000000"/>
          <w:sz w:val="24"/>
          <w:szCs w:val="24"/>
        </w:rPr>
        <w:br w:type="page"/>
      </w:r>
    </w:p>
    <w:p w14:paraId="687AC752" w14:textId="4DDA511D" w:rsidR="00C671F3" w:rsidRPr="0084402E" w:rsidRDefault="00C671F3" w:rsidP="002D4695">
      <w:pPr>
        <w:autoSpaceDE w:val="0"/>
        <w:autoSpaceDN w:val="0"/>
        <w:adjustRightInd w:val="0"/>
        <w:spacing w:after="0" w:line="360" w:lineRule="auto"/>
        <w:ind w:left="284"/>
        <w:jc w:val="both"/>
        <w:rPr>
          <w:rFonts w:ascii="Arial" w:eastAsiaTheme="minorEastAsia" w:hAnsi="Arial" w:cs="Arial"/>
          <w:b/>
          <w:color w:val="000000"/>
          <w:sz w:val="24"/>
          <w:szCs w:val="24"/>
        </w:rPr>
      </w:pPr>
      <w:r w:rsidRPr="0084402E">
        <w:rPr>
          <w:rFonts w:ascii="Arial" w:eastAsiaTheme="minorEastAsia" w:hAnsi="Arial" w:cs="Arial"/>
          <w:b/>
          <w:color w:val="000000"/>
          <w:sz w:val="24"/>
          <w:szCs w:val="24"/>
        </w:rPr>
        <w:lastRenderedPageBreak/>
        <w:t>16. En caso de que los recursos no se apliquen en tiempo y forma, justificar</w:t>
      </w:r>
      <w:r w:rsidR="00246F50" w:rsidRPr="0084402E">
        <w:rPr>
          <w:rFonts w:ascii="Arial" w:eastAsiaTheme="minorEastAsia" w:hAnsi="Arial" w:cs="Arial"/>
          <w:b/>
          <w:color w:val="000000"/>
          <w:sz w:val="24"/>
          <w:szCs w:val="24"/>
        </w:rPr>
        <w:t xml:space="preserve"> el motivo o motivos por los cua</w:t>
      </w:r>
      <w:r w:rsidRPr="0084402E">
        <w:rPr>
          <w:rFonts w:ascii="Arial" w:eastAsiaTheme="minorEastAsia" w:hAnsi="Arial" w:cs="Arial"/>
          <w:b/>
          <w:color w:val="000000"/>
          <w:sz w:val="24"/>
          <w:szCs w:val="24"/>
        </w:rPr>
        <w:t>les se presentan los subejercicios.</w:t>
      </w:r>
    </w:p>
    <w:p w14:paraId="493D88DA" w14:textId="77777777" w:rsidR="002D4695" w:rsidRPr="0084402E" w:rsidRDefault="002D4695" w:rsidP="002D4695">
      <w:pPr>
        <w:autoSpaceDE w:val="0"/>
        <w:autoSpaceDN w:val="0"/>
        <w:adjustRightInd w:val="0"/>
        <w:spacing w:after="0" w:line="360" w:lineRule="auto"/>
        <w:jc w:val="both"/>
        <w:rPr>
          <w:rFonts w:ascii="Arial" w:eastAsiaTheme="minorEastAsia" w:hAnsi="Arial" w:cs="Arial"/>
          <w:b/>
          <w:color w:val="000000"/>
          <w:sz w:val="24"/>
          <w:szCs w:val="24"/>
        </w:rPr>
      </w:pPr>
      <w:r w:rsidRPr="0084402E">
        <w:rPr>
          <w:rFonts w:ascii="Arial" w:eastAsiaTheme="minorEastAsia" w:hAnsi="Arial" w:cs="Arial"/>
          <w:b/>
          <w:color w:val="000000"/>
          <w:sz w:val="24"/>
          <w:szCs w:val="24"/>
        </w:rPr>
        <w:t>RESPUESTA:</w:t>
      </w:r>
    </w:p>
    <w:p w14:paraId="58B7FAE5" w14:textId="3A646C06" w:rsidR="00EB7722" w:rsidRPr="0084402E" w:rsidRDefault="007E2184" w:rsidP="003E4A88">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De acuerdo con</w:t>
      </w:r>
      <w:r w:rsidR="00A2661F" w:rsidRPr="0084402E">
        <w:rPr>
          <w:rFonts w:ascii="Arial" w:eastAsiaTheme="minorEastAsia" w:hAnsi="Arial" w:cs="Arial"/>
          <w:sz w:val="24"/>
          <w:szCs w:val="24"/>
        </w:rPr>
        <w:t xml:space="preserve"> </w:t>
      </w:r>
      <w:r w:rsidR="00F53FEF" w:rsidRPr="0084402E">
        <w:rPr>
          <w:rFonts w:ascii="Arial" w:eastAsiaTheme="minorEastAsia" w:hAnsi="Arial" w:cs="Arial"/>
          <w:sz w:val="24"/>
          <w:szCs w:val="24"/>
        </w:rPr>
        <w:t>la información presentada del Presupuesto del IEAEY, clasificación funcional de la Cuenta Pública del Estado de Yucatán, no existieron subejercicios y el presupuesto se eje</w:t>
      </w:r>
      <w:r w:rsidR="00E00687" w:rsidRPr="0084402E">
        <w:rPr>
          <w:rFonts w:ascii="Arial" w:eastAsiaTheme="minorEastAsia" w:hAnsi="Arial" w:cs="Arial"/>
          <w:sz w:val="24"/>
          <w:szCs w:val="24"/>
        </w:rPr>
        <w:t>rció</w:t>
      </w:r>
      <w:r w:rsidR="00F53FEF" w:rsidRPr="0084402E">
        <w:rPr>
          <w:rFonts w:ascii="Arial" w:eastAsiaTheme="minorEastAsia" w:hAnsi="Arial" w:cs="Arial"/>
          <w:sz w:val="24"/>
          <w:szCs w:val="24"/>
        </w:rPr>
        <w:t xml:space="preserve"> </w:t>
      </w:r>
      <w:r w:rsidR="008A4B13" w:rsidRPr="0084402E">
        <w:rPr>
          <w:rFonts w:ascii="Arial" w:eastAsiaTheme="minorEastAsia" w:hAnsi="Arial" w:cs="Arial"/>
          <w:sz w:val="24"/>
          <w:szCs w:val="24"/>
        </w:rPr>
        <w:t xml:space="preserve">como se muestra en la siguiente tabla: </w:t>
      </w:r>
    </w:p>
    <w:p w14:paraId="25210C05" w14:textId="77777777" w:rsidR="00EB7722" w:rsidRPr="0084402E" w:rsidRDefault="00EB7722" w:rsidP="003E4A88">
      <w:pPr>
        <w:spacing w:after="0" w:line="360" w:lineRule="auto"/>
        <w:jc w:val="both"/>
        <w:rPr>
          <w:rFonts w:ascii="Arial" w:eastAsiaTheme="minorEastAsia" w:hAnsi="Arial" w:cs="Arial"/>
          <w:sz w:val="24"/>
          <w:szCs w:val="24"/>
        </w:rPr>
      </w:pPr>
    </w:p>
    <w:tbl>
      <w:tblPr>
        <w:tblStyle w:val="Tablaconcuadrcula1"/>
        <w:tblW w:w="0" w:type="auto"/>
        <w:tblInd w:w="-34" w:type="dxa"/>
        <w:tblLook w:val="04A0" w:firstRow="1" w:lastRow="0" w:firstColumn="1" w:lastColumn="0" w:noHBand="0" w:noVBand="1"/>
      </w:tblPr>
      <w:tblGrid>
        <w:gridCol w:w="2344"/>
        <w:gridCol w:w="1885"/>
        <w:gridCol w:w="2117"/>
        <w:gridCol w:w="2018"/>
        <w:gridCol w:w="1745"/>
      </w:tblGrid>
      <w:tr w:rsidR="00EB7722" w:rsidRPr="0084402E" w14:paraId="6F84DA49" w14:textId="77777777" w:rsidTr="00576178">
        <w:tc>
          <w:tcPr>
            <w:tcW w:w="10109" w:type="dxa"/>
            <w:gridSpan w:val="5"/>
            <w:shd w:val="clear" w:color="auto" w:fill="F2F2F2" w:themeFill="background1" w:themeFillShade="F2"/>
          </w:tcPr>
          <w:p w14:paraId="7FD6D3B6" w14:textId="77777777" w:rsidR="00EB7722" w:rsidRPr="0084402E" w:rsidRDefault="00EB7722" w:rsidP="008A4B13">
            <w:pPr>
              <w:spacing w:after="100" w:afterAutospacing="1" w:line="360" w:lineRule="auto"/>
              <w:jc w:val="center"/>
              <w:rPr>
                <w:rFonts w:ascii="Arial" w:eastAsiaTheme="minorEastAsia" w:hAnsi="Arial" w:cs="Arial"/>
                <w:b/>
                <w:i/>
                <w:sz w:val="24"/>
                <w:szCs w:val="24"/>
              </w:rPr>
            </w:pPr>
            <w:r w:rsidRPr="0084402E">
              <w:rPr>
                <w:rFonts w:ascii="Arial" w:eastAsiaTheme="minorEastAsia" w:hAnsi="Arial" w:cs="Arial"/>
                <w:b/>
                <w:i/>
                <w:sz w:val="24"/>
                <w:szCs w:val="24"/>
              </w:rPr>
              <w:t xml:space="preserve">Tabla No. </w:t>
            </w:r>
            <w:r w:rsidR="003E582F" w:rsidRPr="0084402E">
              <w:rPr>
                <w:rFonts w:ascii="Arial" w:eastAsiaTheme="minorEastAsia" w:hAnsi="Arial" w:cs="Arial"/>
                <w:b/>
                <w:i/>
                <w:sz w:val="24"/>
                <w:szCs w:val="24"/>
              </w:rPr>
              <w:t xml:space="preserve">7 </w:t>
            </w:r>
            <w:r w:rsidR="008A4B13" w:rsidRPr="0084402E">
              <w:rPr>
                <w:rFonts w:ascii="Arial" w:eastAsiaTheme="minorEastAsia" w:hAnsi="Arial" w:cs="Arial"/>
                <w:b/>
                <w:i/>
                <w:sz w:val="24"/>
                <w:szCs w:val="24"/>
              </w:rPr>
              <w:t>Estado del ejercicio del presupuesto 2014 del IEAEY</w:t>
            </w:r>
          </w:p>
        </w:tc>
      </w:tr>
      <w:tr w:rsidR="00EB7722" w:rsidRPr="0084402E" w14:paraId="64AE282A" w14:textId="77777777" w:rsidTr="00EB7722">
        <w:tc>
          <w:tcPr>
            <w:tcW w:w="2344" w:type="dxa"/>
            <w:shd w:val="clear" w:color="auto" w:fill="808080" w:themeFill="background1" w:themeFillShade="80"/>
            <w:vAlign w:val="center"/>
          </w:tcPr>
          <w:p w14:paraId="56B71562" w14:textId="77777777" w:rsidR="00EB7722" w:rsidRPr="0084402E" w:rsidRDefault="00EB7722" w:rsidP="00576178">
            <w:pPr>
              <w:spacing w:after="100" w:afterAutospacing="1" w:line="360" w:lineRule="auto"/>
              <w:jc w:val="center"/>
              <w:rPr>
                <w:rFonts w:ascii="Arial" w:eastAsiaTheme="minorEastAsia" w:hAnsi="Arial" w:cs="Arial"/>
                <w:b/>
                <w:bCs/>
                <w:i/>
                <w:color w:val="FFFFFF" w:themeColor="background1"/>
                <w:sz w:val="24"/>
                <w:szCs w:val="24"/>
              </w:rPr>
            </w:pPr>
            <w:r w:rsidRPr="0084402E">
              <w:rPr>
                <w:rFonts w:ascii="Arial" w:eastAsiaTheme="minorEastAsia" w:hAnsi="Arial" w:cs="Arial"/>
                <w:i/>
                <w:color w:val="FFFFFF" w:themeColor="background1"/>
                <w:sz w:val="24"/>
                <w:szCs w:val="24"/>
              </w:rPr>
              <w:t>Ejercicio Fiscal analizado</w:t>
            </w:r>
          </w:p>
        </w:tc>
        <w:tc>
          <w:tcPr>
            <w:tcW w:w="1885" w:type="dxa"/>
            <w:shd w:val="clear" w:color="auto" w:fill="808080" w:themeFill="background1" w:themeFillShade="80"/>
            <w:vAlign w:val="center"/>
          </w:tcPr>
          <w:p w14:paraId="48BC3BF9" w14:textId="77777777" w:rsidR="00EB7722" w:rsidRPr="0084402E" w:rsidRDefault="00EB7722" w:rsidP="00576178">
            <w:pPr>
              <w:spacing w:after="100" w:afterAutospacing="1" w:line="360" w:lineRule="auto"/>
              <w:jc w:val="center"/>
              <w:rPr>
                <w:rFonts w:ascii="Arial" w:eastAsiaTheme="minorEastAsia" w:hAnsi="Arial" w:cs="Arial"/>
                <w:b/>
                <w:bCs/>
                <w:i/>
                <w:color w:val="FFFFFF" w:themeColor="background1"/>
                <w:sz w:val="24"/>
                <w:szCs w:val="24"/>
              </w:rPr>
            </w:pPr>
            <w:r w:rsidRPr="0084402E">
              <w:rPr>
                <w:rFonts w:ascii="Arial" w:eastAsiaTheme="minorEastAsia" w:hAnsi="Arial" w:cs="Arial"/>
                <w:i/>
                <w:color w:val="FFFFFF" w:themeColor="background1"/>
                <w:sz w:val="24"/>
                <w:szCs w:val="24"/>
              </w:rPr>
              <w:t>Autorizado</w:t>
            </w:r>
          </w:p>
        </w:tc>
        <w:tc>
          <w:tcPr>
            <w:tcW w:w="2117" w:type="dxa"/>
            <w:shd w:val="clear" w:color="auto" w:fill="808080" w:themeFill="background1" w:themeFillShade="80"/>
            <w:vAlign w:val="center"/>
          </w:tcPr>
          <w:p w14:paraId="7855A475" w14:textId="77777777" w:rsidR="00EB7722" w:rsidRPr="0084402E" w:rsidRDefault="00EB7722" w:rsidP="00576178">
            <w:pPr>
              <w:spacing w:after="100" w:afterAutospacing="1" w:line="360" w:lineRule="auto"/>
              <w:jc w:val="center"/>
              <w:rPr>
                <w:rFonts w:ascii="Arial" w:eastAsiaTheme="minorEastAsia" w:hAnsi="Arial" w:cs="Arial"/>
                <w:b/>
                <w:bCs/>
                <w:i/>
                <w:color w:val="FFFFFF" w:themeColor="background1"/>
                <w:sz w:val="24"/>
                <w:szCs w:val="24"/>
              </w:rPr>
            </w:pPr>
            <w:r w:rsidRPr="0084402E">
              <w:rPr>
                <w:rFonts w:ascii="Arial" w:eastAsiaTheme="minorEastAsia" w:hAnsi="Arial" w:cs="Arial"/>
                <w:i/>
                <w:color w:val="FFFFFF" w:themeColor="background1"/>
                <w:sz w:val="24"/>
                <w:szCs w:val="24"/>
              </w:rPr>
              <w:t>Modificado</w:t>
            </w:r>
          </w:p>
        </w:tc>
        <w:tc>
          <w:tcPr>
            <w:tcW w:w="2018" w:type="dxa"/>
            <w:shd w:val="clear" w:color="auto" w:fill="808080" w:themeFill="background1" w:themeFillShade="80"/>
            <w:vAlign w:val="center"/>
          </w:tcPr>
          <w:p w14:paraId="08931704" w14:textId="77777777" w:rsidR="00EB7722" w:rsidRPr="0084402E" w:rsidRDefault="00EB7722" w:rsidP="00576178">
            <w:pPr>
              <w:spacing w:after="100" w:afterAutospacing="1" w:line="360" w:lineRule="auto"/>
              <w:jc w:val="center"/>
              <w:rPr>
                <w:rFonts w:ascii="Arial" w:eastAsiaTheme="minorEastAsia" w:hAnsi="Arial" w:cs="Arial"/>
                <w:b/>
                <w:bCs/>
                <w:i/>
                <w:color w:val="FFFFFF" w:themeColor="background1"/>
                <w:sz w:val="24"/>
                <w:szCs w:val="24"/>
              </w:rPr>
            </w:pPr>
            <w:r w:rsidRPr="0084402E">
              <w:rPr>
                <w:rFonts w:ascii="Arial" w:eastAsiaTheme="minorEastAsia" w:hAnsi="Arial" w:cs="Arial"/>
                <w:i/>
                <w:color w:val="FFFFFF" w:themeColor="background1"/>
                <w:sz w:val="24"/>
                <w:szCs w:val="24"/>
              </w:rPr>
              <w:t>Ejercido</w:t>
            </w:r>
          </w:p>
        </w:tc>
        <w:tc>
          <w:tcPr>
            <w:tcW w:w="1745" w:type="dxa"/>
            <w:shd w:val="clear" w:color="auto" w:fill="808080" w:themeFill="background1" w:themeFillShade="80"/>
            <w:vAlign w:val="center"/>
          </w:tcPr>
          <w:p w14:paraId="0DE6A755" w14:textId="77777777" w:rsidR="00EB7722" w:rsidRPr="0084402E" w:rsidRDefault="00EB7722" w:rsidP="00EB7722">
            <w:pPr>
              <w:spacing w:after="100" w:afterAutospacing="1" w:line="360" w:lineRule="auto"/>
              <w:jc w:val="center"/>
              <w:rPr>
                <w:rFonts w:ascii="Arial" w:eastAsiaTheme="minorEastAsia" w:hAnsi="Arial" w:cs="Arial"/>
                <w:i/>
                <w:color w:val="FFFFFF" w:themeColor="background1"/>
                <w:sz w:val="24"/>
                <w:szCs w:val="24"/>
              </w:rPr>
            </w:pPr>
            <w:r w:rsidRPr="0084402E">
              <w:rPr>
                <w:rFonts w:ascii="Arial" w:eastAsiaTheme="minorEastAsia" w:hAnsi="Arial" w:cs="Arial"/>
                <w:i/>
                <w:color w:val="FFFFFF" w:themeColor="background1"/>
                <w:sz w:val="24"/>
                <w:szCs w:val="24"/>
              </w:rPr>
              <w:t>Subejercido</w:t>
            </w:r>
          </w:p>
        </w:tc>
      </w:tr>
      <w:tr w:rsidR="00EB7722" w:rsidRPr="0084402E" w14:paraId="6830FE9E" w14:textId="77777777" w:rsidTr="00EB7722">
        <w:tc>
          <w:tcPr>
            <w:tcW w:w="2344" w:type="dxa"/>
            <w:vAlign w:val="center"/>
          </w:tcPr>
          <w:p w14:paraId="0847CD9F" w14:textId="77777777" w:rsidR="00EB7722" w:rsidRPr="0084402E" w:rsidRDefault="00EB7722" w:rsidP="00576178">
            <w:pPr>
              <w:spacing w:after="100" w:afterAutospacing="1" w:line="360" w:lineRule="auto"/>
              <w:jc w:val="center"/>
              <w:rPr>
                <w:rFonts w:ascii="Arial" w:eastAsiaTheme="minorEastAsia" w:hAnsi="Arial" w:cs="Arial"/>
                <w:sz w:val="24"/>
                <w:szCs w:val="24"/>
              </w:rPr>
            </w:pPr>
            <w:r w:rsidRPr="0084402E">
              <w:rPr>
                <w:rFonts w:ascii="Arial" w:eastAsiaTheme="minorEastAsia" w:hAnsi="Arial" w:cs="Arial"/>
                <w:sz w:val="24"/>
                <w:szCs w:val="24"/>
              </w:rPr>
              <w:t>2014</w:t>
            </w:r>
          </w:p>
        </w:tc>
        <w:tc>
          <w:tcPr>
            <w:tcW w:w="1885" w:type="dxa"/>
            <w:vAlign w:val="center"/>
          </w:tcPr>
          <w:p w14:paraId="45A7F1A0" w14:textId="77777777" w:rsidR="00EB7722" w:rsidRPr="0084402E" w:rsidRDefault="00EB7722" w:rsidP="00576178">
            <w:pPr>
              <w:spacing w:after="100" w:afterAutospacing="1" w:line="360" w:lineRule="auto"/>
              <w:jc w:val="both"/>
              <w:rPr>
                <w:rFonts w:ascii="Arial" w:eastAsiaTheme="minorEastAsia" w:hAnsi="Arial" w:cs="Arial"/>
                <w:bCs/>
                <w:sz w:val="24"/>
                <w:szCs w:val="24"/>
              </w:rPr>
            </w:pPr>
            <w:r w:rsidRPr="0084402E">
              <w:rPr>
                <w:rFonts w:ascii="Arial" w:eastAsiaTheme="minorEastAsia" w:hAnsi="Arial" w:cs="Arial"/>
                <w:bCs/>
                <w:sz w:val="24"/>
                <w:szCs w:val="24"/>
              </w:rPr>
              <w:t>90,098,464.00</w:t>
            </w:r>
          </w:p>
        </w:tc>
        <w:tc>
          <w:tcPr>
            <w:tcW w:w="2117" w:type="dxa"/>
            <w:vAlign w:val="center"/>
          </w:tcPr>
          <w:p w14:paraId="56ED6F0D" w14:textId="77777777" w:rsidR="00EB7722" w:rsidRPr="0084402E" w:rsidRDefault="004B7B84" w:rsidP="00576178">
            <w:pPr>
              <w:spacing w:after="100" w:afterAutospacing="1" w:line="360" w:lineRule="auto"/>
              <w:jc w:val="both"/>
              <w:rPr>
                <w:rFonts w:ascii="Arial" w:eastAsiaTheme="minorEastAsia" w:hAnsi="Arial" w:cs="Arial"/>
                <w:bCs/>
                <w:sz w:val="24"/>
                <w:szCs w:val="24"/>
              </w:rPr>
            </w:pPr>
            <w:r w:rsidRPr="0084402E">
              <w:rPr>
                <w:rFonts w:ascii="Arial" w:eastAsiaTheme="minorEastAsia" w:hAnsi="Arial" w:cs="Arial"/>
                <w:bCs/>
                <w:sz w:val="24"/>
                <w:szCs w:val="24"/>
              </w:rPr>
              <w:t>112,537,426.66</w:t>
            </w:r>
          </w:p>
        </w:tc>
        <w:tc>
          <w:tcPr>
            <w:tcW w:w="2018" w:type="dxa"/>
            <w:vAlign w:val="center"/>
          </w:tcPr>
          <w:p w14:paraId="6DCA1D16" w14:textId="77777777" w:rsidR="00EB7722" w:rsidRPr="0084402E" w:rsidRDefault="004B7B84" w:rsidP="00576178">
            <w:pPr>
              <w:spacing w:after="100" w:afterAutospacing="1" w:line="360" w:lineRule="auto"/>
              <w:jc w:val="both"/>
              <w:rPr>
                <w:rFonts w:ascii="Arial" w:eastAsiaTheme="minorEastAsia" w:hAnsi="Arial" w:cs="Arial"/>
                <w:bCs/>
                <w:sz w:val="24"/>
                <w:szCs w:val="24"/>
              </w:rPr>
            </w:pPr>
            <w:r w:rsidRPr="0084402E">
              <w:rPr>
                <w:rFonts w:ascii="Arial" w:eastAsiaTheme="minorEastAsia" w:hAnsi="Arial" w:cs="Arial"/>
                <w:bCs/>
                <w:sz w:val="24"/>
                <w:szCs w:val="24"/>
              </w:rPr>
              <w:t>112,537,426.66</w:t>
            </w:r>
          </w:p>
        </w:tc>
        <w:tc>
          <w:tcPr>
            <w:tcW w:w="1745" w:type="dxa"/>
          </w:tcPr>
          <w:p w14:paraId="7DCACD40" w14:textId="77777777" w:rsidR="00D93ECB" w:rsidRPr="0084402E" w:rsidRDefault="00DC0A4B" w:rsidP="00DC0A4B">
            <w:pPr>
              <w:spacing w:after="100" w:afterAutospacing="1" w:line="360" w:lineRule="auto"/>
              <w:jc w:val="center"/>
              <w:rPr>
                <w:rFonts w:ascii="Arial" w:eastAsiaTheme="minorEastAsia" w:hAnsi="Arial" w:cs="Arial"/>
                <w:bCs/>
                <w:sz w:val="24"/>
                <w:szCs w:val="24"/>
              </w:rPr>
            </w:pPr>
            <w:r w:rsidRPr="0084402E">
              <w:rPr>
                <w:rFonts w:ascii="Arial" w:eastAsiaTheme="minorEastAsia" w:hAnsi="Arial" w:cs="Arial"/>
                <w:bCs/>
                <w:sz w:val="24"/>
                <w:szCs w:val="24"/>
              </w:rPr>
              <w:t>-</w:t>
            </w:r>
          </w:p>
        </w:tc>
      </w:tr>
    </w:tbl>
    <w:p w14:paraId="3AA4E2AB" w14:textId="77777777" w:rsidR="008A4B13" w:rsidRPr="0084402E" w:rsidRDefault="0023159C" w:rsidP="003E4A88">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Fuente: Cuenta Pública 2014 de Gobierno del  Estado de Yucatán. Clasificación Administrativa. Ente Público: Instituto de Educación para Adultos del Estado de Yucatán, del 1ro de enero al 31 de diciembre de 2014. </w:t>
      </w:r>
    </w:p>
    <w:p w14:paraId="629889D8" w14:textId="77777777" w:rsidR="008A4B13" w:rsidRPr="0084402E" w:rsidRDefault="008A4B13" w:rsidP="003E4A88">
      <w:pPr>
        <w:spacing w:after="0" w:line="360" w:lineRule="auto"/>
        <w:jc w:val="both"/>
        <w:rPr>
          <w:rFonts w:ascii="Arial" w:eastAsiaTheme="minorEastAsia" w:hAnsi="Arial" w:cs="Arial"/>
          <w:sz w:val="24"/>
          <w:szCs w:val="24"/>
        </w:rPr>
      </w:pPr>
    </w:p>
    <w:p w14:paraId="4C3821EB" w14:textId="77777777" w:rsidR="00197E7F" w:rsidRDefault="00DC0A4B" w:rsidP="003E4A88">
      <w:pPr>
        <w:spacing w:after="0" w:line="360" w:lineRule="auto"/>
        <w:jc w:val="both"/>
        <w:rPr>
          <w:rFonts w:ascii="Arial" w:eastAsiaTheme="minorEastAsia" w:hAnsi="Arial" w:cs="Arial"/>
          <w:bCs/>
          <w:sz w:val="24"/>
          <w:szCs w:val="24"/>
        </w:rPr>
      </w:pPr>
      <w:r w:rsidRPr="0084402E">
        <w:rPr>
          <w:rFonts w:ascii="Arial" w:eastAsiaTheme="minorEastAsia" w:hAnsi="Arial" w:cs="Arial"/>
          <w:sz w:val="24"/>
          <w:szCs w:val="24"/>
        </w:rPr>
        <w:t>E</w:t>
      </w:r>
      <w:r w:rsidR="008A4B13" w:rsidRPr="0084402E">
        <w:rPr>
          <w:rFonts w:ascii="Arial" w:eastAsiaTheme="minorEastAsia" w:hAnsi="Arial" w:cs="Arial"/>
          <w:sz w:val="24"/>
          <w:szCs w:val="24"/>
        </w:rPr>
        <w:t xml:space="preserve">n lo que concierne a la parte del presupuesto del IEAEY que corresponde a FAETA,  y que </w:t>
      </w:r>
      <w:r w:rsidRPr="0084402E">
        <w:rPr>
          <w:rFonts w:ascii="Arial" w:eastAsiaTheme="minorEastAsia" w:hAnsi="Arial" w:cs="Arial"/>
          <w:sz w:val="24"/>
          <w:szCs w:val="24"/>
        </w:rPr>
        <w:t>equivale</w:t>
      </w:r>
      <w:r w:rsidR="008A4B13" w:rsidRPr="0084402E">
        <w:rPr>
          <w:rFonts w:ascii="Arial" w:eastAsiaTheme="minorEastAsia" w:hAnsi="Arial" w:cs="Arial"/>
          <w:sz w:val="24"/>
          <w:szCs w:val="24"/>
        </w:rPr>
        <w:t xml:space="preserve"> a un monto autorizado de </w:t>
      </w:r>
      <w:r w:rsidR="008A4B13" w:rsidRPr="0084402E">
        <w:rPr>
          <w:rFonts w:ascii="Arial" w:eastAsiaTheme="minorEastAsia" w:hAnsi="Arial" w:cs="Arial"/>
          <w:bCs/>
          <w:sz w:val="24"/>
          <w:szCs w:val="24"/>
        </w:rPr>
        <w:t>61,857,968 pesos, de acuerdo con el PEF 2014</w:t>
      </w:r>
      <w:r w:rsidRPr="0084402E">
        <w:rPr>
          <w:rFonts w:ascii="Arial" w:eastAsiaTheme="minorEastAsia" w:hAnsi="Arial" w:cs="Arial"/>
          <w:bCs/>
          <w:sz w:val="24"/>
          <w:szCs w:val="24"/>
        </w:rPr>
        <w:t>, los  monto</w:t>
      </w:r>
      <w:r w:rsidR="003C43AD" w:rsidRPr="0084402E">
        <w:rPr>
          <w:rFonts w:ascii="Arial" w:eastAsiaTheme="minorEastAsia" w:hAnsi="Arial" w:cs="Arial"/>
          <w:bCs/>
          <w:sz w:val="24"/>
          <w:szCs w:val="24"/>
        </w:rPr>
        <w:t>s</w:t>
      </w:r>
      <w:r w:rsidRPr="0084402E">
        <w:rPr>
          <w:rFonts w:ascii="Arial" w:eastAsiaTheme="minorEastAsia" w:hAnsi="Arial" w:cs="Arial"/>
          <w:bCs/>
          <w:sz w:val="24"/>
          <w:szCs w:val="24"/>
        </w:rPr>
        <w:t xml:space="preserve"> pagado</w:t>
      </w:r>
      <w:r w:rsidR="003C43AD" w:rsidRPr="0084402E">
        <w:rPr>
          <w:rFonts w:ascii="Arial" w:eastAsiaTheme="minorEastAsia" w:hAnsi="Arial" w:cs="Arial"/>
          <w:bCs/>
          <w:sz w:val="24"/>
          <w:szCs w:val="24"/>
        </w:rPr>
        <w:t>s</w:t>
      </w:r>
      <w:r w:rsidRPr="0084402E">
        <w:rPr>
          <w:rFonts w:ascii="Arial" w:eastAsiaTheme="minorEastAsia" w:hAnsi="Arial" w:cs="Arial"/>
          <w:bCs/>
          <w:sz w:val="24"/>
          <w:szCs w:val="24"/>
        </w:rPr>
        <w:t xml:space="preserve"> fue</w:t>
      </w:r>
      <w:r w:rsidR="003C43AD" w:rsidRPr="0084402E">
        <w:rPr>
          <w:rFonts w:ascii="Arial" w:eastAsiaTheme="minorEastAsia" w:hAnsi="Arial" w:cs="Arial"/>
          <w:bCs/>
          <w:sz w:val="24"/>
          <w:szCs w:val="24"/>
        </w:rPr>
        <w:t>ron</w:t>
      </w:r>
      <w:r w:rsidRPr="0084402E">
        <w:rPr>
          <w:rFonts w:ascii="Arial" w:eastAsiaTheme="minorEastAsia" w:hAnsi="Arial" w:cs="Arial"/>
          <w:bCs/>
          <w:sz w:val="24"/>
          <w:szCs w:val="24"/>
        </w:rPr>
        <w:t xml:space="preserve"> </w:t>
      </w:r>
      <w:r w:rsidR="008A4B13" w:rsidRPr="0084402E">
        <w:rPr>
          <w:rFonts w:ascii="Arial" w:eastAsiaTheme="minorEastAsia" w:hAnsi="Arial" w:cs="Arial"/>
          <w:bCs/>
          <w:sz w:val="24"/>
          <w:szCs w:val="24"/>
        </w:rPr>
        <w:t>por 63,603.368 pesos</w:t>
      </w:r>
      <w:r w:rsidR="004B7B84" w:rsidRPr="0084402E">
        <w:rPr>
          <w:rStyle w:val="Refdenotaalpie"/>
          <w:rFonts w:ascii="Arial" w:eastAsiaTheme="minorEastAsia" w:hAnsi="Arial" w:cs="Arial"/>
          <w:bCs/>
          <w:sz w:val="24"/>
          <w:szCs w:val="24"/>
        </w:rPr>
        <w:footnoteReference w:id="4"/>
      </w:r>
      <w:r w:rsidR="008A4B13" w:rsidRPr="0084402E">
        <w:rPr>
          <w:rFonts w:ascii="Arial" w:eastAsiaTheme="minorEastAsia" w:hAnsi="Arial" w:cs="Arial"/>
          <w:bCs/>
          <w:sz w:val="24"/>
          <w:szCs w:val="24"/>
        </w:rPr>
        <w:t xml:space="preserve">, </w:t>
      </w:r>
      <w:r w:rsidRPr="0084402E">
        <w:rPr>
          <w:rFonts w:ascii="Arial" w:eastAsiaTheme="minorEastAsia" w:hAnsi="Arial" w:cs="Arial"/>
          <w:bCs/>
          <w:sz w:val="24"/>
          <w:szCs w:val="24"/>
        </w:rPr>
        <w:t xml:space="preserve">los cuales se </w:t>
      </w:r>
      <w:r w:rsidR="003C43AD" w:rsidRPr="0084402E">
        <w:rPr>
          <w:rFonts w:ascii="Arial" w:eastAsiaTheme="minorEastAsia" w:hAnsi="Arial" w:cs="Arial"/>
          <w:bCs/>
          <w:sz w:val="24"/>
          <w:szCs w:val="24"/>
        </w:rPr>
        <w:t>ejercierón</w:t>
      </w:r>
      <w:r w:rsidRPr="0084402E">
        <w:rPr>
          <w:rFonts w:ascii="Arial" w:eastAsiaTheme="minorEastAsia" w:hAnsi="Arial" w:cs="Arial"/>
          <w:bCs/>
          <w:sz w:val="24"/>
          <w:szCs w:val="24"/>
        </w:rPr>
        <w:t xml:space="preserve"> en su totalidad.</w:t>
      </w:r>
    </w:p>
    <w:p w14:paraId="10ED0780" w14:textId="207A072B" w:rsidR="00A61E93" w:rsidRPr="0084402E" w:rsidRDefault="00DC0A4B" w:rsidP="003E4A88">
      <w:pPr>
        <w:spacing w:after="0" w:line="360" w:lineRule="auto"/>
        <w:jc w:val="both"/>
        <w:rPr>
          <w:rFonts w:ascii="Arial" w:eastAsiaTheme="minorEastAsia" w:hAnsi="Arial" w:cs="Arial"/>
          <w:sz w:val="24"/>
          <w:szCs w:val="24"/>
        </w:rPr>
      </w:pPr>
      <w:r w:rsidRPr="0084402E">
        <w:rPr>
          <w:rFonts w:ascii="Arial" w:eastAsiaTheme="minorEastAsia" w:hAnsi="Arial" w:cs="Arial"/>
          <w:bCs/>
          <w:sz w:val="24"/>
          <w:szCs w:val="24"/>
        </w:rPr>
        <w:t xml:space="preserve"> </w:t>
      </w:r>
      <w:r w:rsidR="00A61E93" w:rsidRPr="0084402E">
        <w:rPr>
          <w:rFonts w:ascii="Arial" w:eastAsiaTheme="minorEastAsia" w:hAnsi="Arial" w:cs="Arial"/>
          <w:sz w:val="24"/>
          <w:szCs w:val="24"/>
        </w:rPr>
        <w:br w:type="page"/>
      </w:r>
    </w:p>
    <w:p w14:paraId="70457FC8" w14:textId="77777777" w:rsidR="00A61E93" w:rsidRPr="0084402E" w:rsidRDefault="00C671F3" w:rsidP="002D4695">
      <w:pPr>
        <w:spacing w:after="0" w:line="360" w:lineRule="auto"/>
        <w:ind w:left="284"/>
        <w:jc w:val="both"/>
        <w:rPr>
          <w:rFonts w:ascii="Arial" w:eastAsiaTheme="minorEastAsia" w:hAnsi="Arial" w:cs="Arial"/>
          <w:b/>
          <w:sz w:val="24"/>
          <w:szCs w:val="24"/>
        </w:rPr>
      </w:pPr>
      <w:r w:rsidRPr="0084402E">
        <w:rPr>
          <w:rFonts w:ascii="Arial" w:eastAsiaTheme="minorEastAsia" w:hAnsi="Arial" w:cs="Arial"/>
          <w:b/>
          <w:sz w:val="24"/>
          <w:szCs w:val="24"/>
        </w:rPr>
        <w:lastRenderedPageBreak/>
        <w:t>17. ¿Se cumple con los ordenamientos de normatividad aplicable en materia de información de resultados y financiera, en tiempo y form</w:t>
      </w:r>
      <w:bookmarkStart w:id="6" w:name="_Toc417393253"/>
      <w:r w:rsidR="002D4695" w:rsidRPr="0084402E">
        <w:rPr>
          <w:rFonts w:ascii="Arial" w:eastAsiaTheme="minorEastAsia" w:hAnsi="Arial" w:cs="Arial"/>
          <w:b/>
          <w:sz w:val="24"/>
          <w:szCs w:val="24"/>
        </w:rPr>
        <w:t>a?</w:t>
      </w:r>
    </w:p>
    <w:p w14:paraId="35440408" w14:textId="77777777" w:rsidR="002D4695" w:rsidRPr="0084402E" w:rsidRDefault="002D4695" w:rsidP="002D4695">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RESPUESTA:</w:t>
      </w:r>
      <w:r w:rsidR="00624777" w:rsidRPr="0084402E">
        <w:rPr>
          <w:rFonts w:ascii="Arial" w:eastAsiaTheme="minorEastAsia" w:hAnsi="Arial" w:cs="Arial"/>
          <w:b/>
          <w:sz w:val="24"/>
          <w:szCs w:val="24"/>
        </w:rPr>
        <w:t xml:space="preserve"> </w:t>
      </w:r>
      <w:r w:rsidR="0087779E" w:rsidRPr="0084402E">
        <w:rPr>
          <w:rFonts w:ascii="Arial" w:eastAsiaTheme="minorEastAsia" w:hAnsi="Arial" w:cs="Arial"/>
          <w:b/>
          <w:sz w:val="24"/>
          <w:szCs w:val="24"/>
        </w:rPr>
        <w:t>SÍ</w:t>
      </w:r>
    </w:p>
    <w:p w14:paraId="0D5B81CC" w14:textId="77777777" w:rsidR="00624777" w:rsidRPr="0084402E" w:rsidRDefault="00322625" w:rsidP="002D4695">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De acuerdo con el artículo 85 de la Ley Federal de Presupuesto y Responsabilidad Hacendaria, las entidades federativas tienen la obligación de informar sobre el ejercicio, destino y resultados obtenidos de los recursos federales que le son transferidos, para lo cual se estableció el Sistema de Formato Único (SFU) en el Portal Aplicativo de la Secretaría de Hacienda (PASH) en donde deben reportar el ejercicio de los recursos, a través del avance financiero, y los resultados, a través de los indicadores. </w:t>
      </w:r>
    </w:p>
    <w:p w14:paraId="26DC6C74" w14:textId="77777777" w:rsidR="00915362" w:rsidRPr="0084402E" w:rsidRDefault="00915362" w:rsidP="002D4695">
      <w:pPr>
        <w:spacing w:after="0" w:line="360" w:lineRule="auto"/>
        <w:jc w:val="both"/>
        <w:rPr>
          <w:rFonts w:ascii="Arial" w:eastAsiaTheme="minorEastAsia" w:hAnsi="Arial" w:cs="Arial"/>
          <w:sz w:val="24"/>
          <w:szCs w:val="24"/>
        </w:rPr>
      </w:pPr>
    </w:p>
    <w:p w14:paraId="0A8F2F40" w14:textId="37EDA971" w:rsidR="00A61E93" w:rsidRPr="0084402E" w:rsidRDefault="003A1891" w:rsidP="003A1891">
      <w:pPr>
        <w:spacing w:after="0" w:line="360" w:lineRule="auto"/>
        <w:jc w:val="both"/>
        <w:rPr>
          <w:rFonts w:ascii="Arial" w:eastAsiaTheme="majorEastAsia" w:hAnsi="Arial" w:cs="Arial"/>
          <w:bCs/>
          <w:iCs/>
          <w:sz w:val="24"/>
          <w:szCs w:val="24"/>
        </w:rPr>
      </w:pPr>
      <w:r w:rsidRPr="0084402E">
        <w:rPr>
          <w:rFonts w:ascii="Arial" w:eastAsiaTheme="majorEastAsia" w:hAnsi="Arial" w:cs="Arial"/>
          <w:bCs/>
          <w:iCs/>
          <w:sz w:val="24"/>
          <w:szCs w:val="24"/>
        </w:rPr>
        <w:t>De acuerdo con los Informes de la SHCP sobre el ejercicio, destino y resultados de los recursos transferidos, incluidos en sus Informes Trimestrales de la Situación Económica, las Finanzas Públicas y la Deuda Pública para 2015, se constató que se cumple  con el reporte del avance financiero del ejercicio de los recurso del FAETA Educación para Adultos transferido al estado de Yucatán, como s</w:t>
      </w:r>
      <w:r w:rsidR="007A4800">
        <w:rPr>
          <w:rFonts w:ascii="Arial" w:eastAsiaTheme="majorEastAsia" w:hAnsi="Arial" w:cs="Arial"/>
          <w:bCs/>
          <w:iCs/>
          <w:sz w:val="24"/>
          <w:szCs w:val="24"/>
        </w:rPr>
        <w:t>e muestra en la siguiente Tabla:</w:t>
      </w:r>
    </w:p>
    <w:p w14:paraId="3214704F" w14:textId="77777777" w:rsidR="003A1891" w:rsidRPr="0084402E" w:rsidRDefault="003A1891" w:rsidP="003A1891">
      <w:pPr>
        <w:spacing w:after="0" w:line="360" w:lineRule="auto"/>
        <w:jc w:val="both"/>
        <w:rPr>
          <w:rFonts w:ascii="Arial" w:eastAsiaTheme="majorEastAsia" w:hAnsi="Arial" w:cs="Arial"/>
          <w:bCs/>
          <w:iCs/>
          <w:sz w:val="24"/>
          <w:szCs w:val="24"/>
        </w:rPr>
      </w:pPr>
    </w:p>
    <w:p w14:paraId="55255A2B" w14:textId="77777777" w:rsidR="003A1891" w:rsidRPr="0084402E" w:rsidRDefault="003E582F" w:rsidP="003A1891">
      <w:pPr>
        <w:spacing w:after="0" w:line="360" w:lineRule="auto"/>
        <w:jc w:val="both"/>
        <w:rPr>
          <w:rFonts w:ascii="Arial" w:eastAsiaTheme="majorEastAsia" w:hAnsi="Arial" w:cs="Arial"/>
          <w:bCs/>
          <w:iCs/>
          <w:sz w:val="24"/>
          <w:szCs w:val="24"/>
        </w:rPr>
      </w:pPr>
      <w:r w:rsidRPr="0084402E">
        <w:rPr>
          <w:noProof/>
          <w:sz w:val="24"/>
          <w:szCs w:val="24"/>
          <w:lang w:val="es-ES_tradnl" w:eastAsia="es-ES_tradnl"/>
        </w:rPr>
        <w:drawing>
          <wp:inline distT="0" distB="0" distL="0" distR="0" wp14:anchorId="189105EF" wp14:editId="0E9D6557">
            <wp:extent cx="6260465" cy="1198409"/>
            <wp:effectExtent l="19050" t="0" r="698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260465" cy="1198409"/>
                    </a:xfrm>
                    <a:prstGeom prst="rect">
                      <a:avLst/>
                    </a:prstGeom>
                    <a:noFill/>
                    <a:ln w="9525">
                      <a:noFill/>
                      <a:miter lim="800000"/>
                      <a:headEnd/>
                      <a:tailEnd/>
                    </a:ln>
                  </pic:spPr>
                </pic:pic>
              </a:graphicData>
            </a:graphic>
          </wp:inline>
        </w:drawing>
      </w:r>
    </w:p>
    <w:p w14:paraId="15010ACD" w14:textId="4F1D2FB2" w:rsidR="00BB3E0F" w:rsidRPr="0084402E" w:rsidRDefault="00BB3E0F" w:rsidP="003A1891">
      <w:pPr>
        <w:spacing w:after="0" w:line="360" w:lineRule="auto"/>
        <w:jc w:val="both"/>
        <w:rPr>
          <w:rFonts w:ascii="Arial" w:eastAsiaTheme="majorEastAsia" w:hAnsi="Arial" w:cs="Arial"/>
          <w:bCs/>
          <w:iCs/>
          <w:sz w:val="24"/>
          <w:szCs w:val="24"/>
        </w:rPr>
      </w:pPr>
      <w:r w:rsidRPr="0084402E">
        <w:rPr>
          <w:rFonts w:ascii="Arial" w:eastAsiaTheme="majorEastAsia" w:hAnsi="Arial" w:cs="Arial"/>
          <w:bCs/>
          <w:iCs/>
          <w:sz w:val="24"/>
          <w:szCs w:val="24"/>
        </w:rPr>
        <w:t>Llama la atención, sin embargo, que la diferencia entre los recursos</w:t>
      </w:r>
      <w:r w:rsidR="003E582F" w:rsidRPr="0084402E">
        <w:rPr>
          <w:rFonts w:ascii="Arial" w:eastAsiaTheme="majorEastAsia" w:hAnsi="Arial" w:cs="Arial"/>
          <w:bCs/>
          <w:iCs/>
          <w:sz w:val="24"/>
          <w:szCs w:val="24"/>
        </w:rPr>
        <w:t xml:space="preserve"> pagados por SHCP a la entidad </w:t>
      </w:r>
      <w:r w:rsidRPr="0084402E">
        <w:rPr>
          <w:rFonts w:ascii="Arial" w:eastAsiaTheme="majorEastAsia" w:hAnsi="Arial" w:cs="Arial"/>
          <w:bCs/>
          <w:iCs/>
          <w:sz w:val="24"/>
          <w:szCs w:val="24"/>
        </w:rPr>
        <w:t xml:space="preserve">al tercer trimestre de 2014 por </w:t>
      </w:r>
      <w:r w:rsidR="007A4800">
        <w:rPr>
          <w:rFonts w:ascii="Arial" w:eastAsiaTheme="majorEastAsia" w:hAnsi="Arial" w:cs="Arial"/>
          <w:bCs/>
          <w:iCs/>
          <w:sz w:val="24"/>
          <w:szCs w:val="24"/>
        </w:rPr>
        <w:t>$45,448,716 pesos y los pagados en el cuarto trimestre por $63,</w:t>
      </w:r>
      <w:r w:rsidRPr="0084402E">
        <w:rPr>
          <w:rFonts w:ascii="Arial" w:eastAsiaTheme="majorEastAsia" w:hAnsi="Arial" w:cs="Arial"/>
          <w:bCs/>
          <w:iCs/>
          <w:sz w:val="24"/>
          <w:szCs w:val="24"/>
        </w:rPr>
        <w:t xml:space="preserve">603,368 son </w:t>
      </w:r>
      <w:r w:rsidR="00CE0A77" w:rsidRPr="0084402E">
        <w:rPr>
          <w:rFonts w:ascii="Arial" w:eastAsiaTheme="majorEastAsia" w:hAnsi="Arial" w:cs="Arial"/>
          <w:bCs/>
          <w:iCs/>
          <w:sz w:val="24"/>
          <w:szCs w:val="24"/>
        </w:rPr>
        <w:t>$18,154,652 pesos que se debieron haber ejercido durante el 4to trimestre</w:t>
      </w:r>
      <w:r w:rsidRPr="0084402E">
        <w:rPr>
          <w:rFonts w:ascii="Arial" w:eastAsiaTheme="majorEastAsia" w:hAnsi="Arial" w:cs="Arial"/>
          <w:bCs/>
          <w:iCs/>
          <w:sz w:val="24"/>
          <w:szCs w:val="24"/>
        </w:rPr>
        <w:t xml:space="preserve">, sin </w:t>
      </w:r>
      <w:r w:rsidR="00CE0A77" w:rsidRPr="0084402E">
        <w:rPr>
          <w:rFonts w:ascii="Arial" w:eastAsiaTheme="majorEastAsia" w:hAnsi="Arial" w:cs="Arial"/>
          <w:bCs/>
          <w:iCs/>
          <w:sz w:val="24"/>
          <w:szCs w:val="24"/>
        </w:rPr>
        <w:t>embargo en el presupuesto modificado, ministrado, devengado, ejercido y pagado de dicho trimestre solo aparecen $3,179,115, y no la cantidad que se sumaría con el monto ejercido del trimestre anterior</w:t>
      </w:r>
      <w:r w:rsidR="007E2184" w:rsidRPr="0084402E">
        <w:rPr>
          <w:rFonts w:ascii="Arial" w:eastAsiaTheme="majorEastAsia" w:hAnsi="Arial" w:cs="Arial"/>
          <w:bCs/>
          <w:iCs/>
          <w:sz w:val="24"/>
          <w:szCs w:val="24"/>
        </w:rPr>
        <w:t>,</w:t>
      </w:r>
      <w:r w:rsidR="00CE0A77" w:rsidRPr="0084402E">
        <w:rPr>
          <w:rFonts w:ascii="Arial" w:eastAsiaTheme="majorEastAsia" w:hAnsi="Arial" w:cs="Arial"/>
          <w:bCs/>
          <w:iCs/>
          <w:sz w:val="24"/>
          <w:szCs w:val="24"/>
        </w:rPr>
        <w:t xml:space="preserve"> por lo</w:t>
      </w:r>
      <w:r w:rsidR="003E582F" w:rsidRPr="0084402E">
        <w:rPr>
          <w:rFonts w:ascii="Arial" w:eastAsiaTheme="majorEastAsia" w:hAnsi="Arial" w:cs="Arial"/>
          <w:bCs/>
          <w:iCs/>
          <w:sz w:val="24"/>
          <w:szCs w:val="24"/>
        </w:rPr>
        <w:t xml:space="preserve"> que se observa que pudiera habe</w:t>
      </w:r>
      <w:r w:rsidR="00CE0A77" w:rsidRPr="0084402E">
        <w:rPr>
          <w:rFonts w:ascii="Arial" w:eastAsiaTheme="majorEastAsia" w:hAnsi="Arial" w:cs="Arial"/>
          <w:bCs/>
          <w:iCs/>
          <w:sz w:val="24"/>
          <w:szCs w:val="24"/>
        </w:rPr>
        <w:t xml:space="preserve">r alguna inconsistencia en la captura de la información que sería conveniente explicar. </w:t>
      </w:r>
    </w:p>
    <w:p w14:paraId="64081284" w14:textId="77777777" w:rsidR="00640418" w:rsidRPr="0084402E" w:rsidRDefault="00640418" w:rsidP="004C0514">
      <w:pPr>
        <w:spacing w:after="0" w:line="360" w:lineRule="auto"/>
        <w:jc w:val="center"/>
        <w:rPr>
          <w:rFonts w:ascii="Arial" w:hAnsi="Arial" w:cs="Arial"/>
          <w:sz w:val="24"/>
          <w:szCs w:val="24"/>
        </w:rPr>
      </w:pPr>
    </w:p>
    <w:p w14:paraId="24BB4D10" w14:textId="77777777" w:rsidR="00640418" w:rsidRPr="0084402E" w:rsidRDefault="00640418" w:rsidP="004C0514">
      <w:pPr>
        <w:spacing w:after="0" w:line="360" w:lineRule="auto"/>
        <w:jc w:val="center"/>
        <w:rPr>
          <w:rFonts w:ascii="Arial" w:hAnsi="Arial" w:cs="Arial"/>
          <w:sz w:val="24"/>
          <w:szCs w:val="24"/>
        </w:rPr>
      </w:pPr>
    </w:p>
    <w:p w14:paraId="408822FF" w14:textId="77777777" w:rsidR="00640418" w:rsidRPr="0084402E" w:rsidRDefault="00640418" w:rsidP="004C0514">
      <w:pPr>
        <w:spacing w:after="0" w:line="360" w:lineRule="auto"/>
        <w:jc w:val="center"/>
        <w:rPr>
          <w:rFonts w:ascii="Arial" w:hAnsi="Arial" w:cs="Arial"/>
          <w:sz w:val="24"/>
          <w:szCs w:val="24"/>
        </w:rPr>
      </w:pPr>
    </w:p>
    <w:p w14:paraId="41B375B7" w14:textId="77777777" w:rsidR="00640418" w:rsidRPr="0084402E" w:rsidRDefault="00640418" w:rsidP="004C0514">
      <w:pPr>
        <w:spacing w:after="0" w:line="360" w:lineRule="auto"/>
        <w:jc w:val="center"/>
        <w:rPr>
          <w:rFonts w:ascii="Arial" w:hAnsi="Arial" w:cs="Arial"/>
          <w:sz w:val="24"/>
          <w:szCs w:val="24"/>
        </w:rPr>
      </w:pPr>
    </w:p>
    <w:p w14:paraId="1CB7C899" w14:textId="77777777" w:rsidR="00640418" w:rsidRDefault="00640418" w:rsidP="004C0514">
      <w:pPr>
        <w:spacing w:after="0" w:line="360" w:lineRule="auto"/>
        <w:jc w:val="center"/>
        <w:rPr>
          <w:rFonts w:ascii="Arial" w:hAnsi="Arial" w:cs="Arial"/>
          <w:sz w:val="24"/>
          <w:szCs w:val="24"/>
        </w:rPr>
      </w:pPr>
    </w:p>
    <w:p w14:paraId="0471CB73" w14:textId="77777777" w:rsidR="00197E7F" w:rsidRDefault="00197E7F" w:rsidP="004C0514">
      <w:pPr>
        <w:spacing w:after="0" w:line="360" w:lineRule="auto"/>
        <w:jc w:val="center"/>
        <w:rPr>
          <w:rFonts w:ascii="Arial" w:hAnsi="Arial" w:cs="Arial"/>
          <w:sz w:val="24"/>
          <w:szCs w:val="24"/>
        </w:rPr>
      </w:pPr>
    </w:p>
    <w:p w14:paraId="1C96B18D" w14:textId="77777777" w:rsidR="00197E7F" w:rsidRDefault="00197E7F" w:rsidP="004C0514">
      <w:pPr>
        <w:spacing w:after="0" w:line="360" w:lineRule="auto"/>
        <w:jc w:val="center"/>
        <w:rPr>
          <w:rFonts w:ascii="Arial" w:hAnsi="Arial" w:cs="Arial"/>
          <w:sz w:val="24"/>
          <w:szCs w:val="24"/>
        </w:rPr>
      </w:pPr>
    </w:p>
    <w:p w14:paraId="5C263F98" w14:textId="77777777" w:rsidR="00197E7F" w:rsidRDefault="00197E7F" w:rsidP="004C0514">
      <w:pPr>
        <w:spacing w:after="0" w:line="360" w:lineRule="auto"/>
        <w:jc w:val="center"/>
        <w:rPr>
          <w:rFonts w:ascii="Arial" w:hAnsi="Arial" w:cs="Arial"/>
          <w:sz w:val="24"/>
          <w:szCs w:val="24"/>
        </w:rPr>
      </w:pPr>
    </w:p>
    <w:p w14:paraId="42628E19" w14:textId="77777777" w:rsidR="00197E7F" w:rsidRPr="0084402E" w:rsidRDefault="00197E7F" w:rsidP="004C0514">
      <w:pPr>
        <w:spacing w:after="0" w:line="360" w:lineRule="auto"/>
        <w:jc w:val="center"/>
        <w:rPr>
          <w:rFonts w:ascii="Arial" w:hAnsi="Arial" w:cs="Arial"/>
          <w:sz w:val="24"/>
          <w:szCs w:val="24"/>
        </w:rPr>
      </w:pPr>
    </w:p>
    <w:p w14:paraId="51974443" w14:textId="77777777" w:rsidR="00640418" w:rsidRPr="0084402E" w:rsidRDefault="00640418" w:rsidP="004C0514">
      <w:pPr>
        <w:spacing w:after="0" w:line="360" w:lineRule="auto"/>
        <w:jc w:val="center"/>
        <w:rPr>
          <w:rFonts w:ascii="Arial" w:hAnsi="Arial" w:cs="Arial"/>
          <w:sz w:val="24"/>
          <w:szCs w:val="24"/>
        </w:rPr>
      </w:pPr>
    </w:p>
    <w:p w14:paraId="33229E66" w14:textId="77777777" w:rsidR="00640418" w:rsidRPr="0084402E" w:rsidRDefault="00640418" w:rsidP="004C0514">
      <w:pPr>
        <w:spacing w:after="0" w:line="360" w:lineRule="auto"/>
        <w:jc w:val="center"/>
        <w:rPr>
          <w:rFonts w:ascii="Arial" w:hAnsi="Arial" w:cs="Arial"/>
          <w:sz w:val="24"/>
          <w:szCs w:val="24"/>
        </w:rPr>
      </w:pPr>
    </w:p>
    <w:p w14:paraId="522383A6" w14:textId="77777777" w:rsidR="00640418" w:rsidRPr="0084402E" w:rsidRDefault="00640418" w:rsidP="004C0514">
      <w:pPr>
        <w:spacing w:after="0" w:line="360" w:lineRule="auto"/>
        <w:jc w:val="center"/>
        <w:rPr>
          <w:rFonts w:ascii="Arial" w:hAnsi="Arial" w:cs="Arial"/>
          <w:sz w:val="24"/>
          <w:szCs w:val="24"/>
        </w:rPr>
      </w:pPr>
    </w:p>
    <w:p w14:paraId="377E53EB" w14:textId="5B2EB1E8" w:rsidR="00640418" w:rsidRPr="0084402E" w:rsidRDefault="002D4695" w:rsidP="004C0514">
      <w:pPr>
        <w:spacing w:after="0" w:line="360" w:lineRule="auto"/>
        <w:jc w:val="center"/>
        <w:rPr>
          <w:rFonts w:ascii="Arial" w:eastAsiaTheme="minorEastAsia" w:hAnsi="Arial" w:cs="Arial"/>
          <w:b/>
          <w:sz w:val="24"/>
          <w:szCs w:val="24"/>
        </w:rPr>
      </w:pPr>
      <w:r w:rsidRPr="0084402E">
        <w:rPr>
          <w:rFonts w:ascii="Arial" w:hAnsi="Arial" w:cs="Arial"/>
          <w:b/>
          <w:sz w:val="24"/>
          <w:szCs w:val="24"/>
        </w:rPr>
        <w:t>VI</w:t>
      </w:r>
      <w:r w:rsidR="00934175">
        <w:rPr>
          <w:rFonts w:ascii="Arial" w:hAnsi="Arial" w:cs="Arial"/>
          <w:b/>
          <w:sz w:val="24"/>
          <w:szCs w:val="24"/>
        </w:rPr>
        <w:t>I</w:t>
      </w:r>
      <w:r w:rsidRPr="0084402E">
        <w:rPr>
          <w:rFonts w:ascii="Arial" w:hAnsi="Arial" w:cs="Arial"/>
          <w:b/>
          <w:sz w:val="24"/>
          <w:szCs w:val="24"/>
        </w:rPr>
        <w:t xml:space="preserve">. </w:t>
      </w:r>
      <w:r w:rsidRPr="0084402E">
        <w:rPr>
          <w:rFonts w:ascii="Arial" w:eastAsiaTheme="minorEastAsia" w:hAnsi="Arial" w:cs="Arial"/>
          <w:b/>
          <w:sz w:val="24"/>
          <w:szCs w:val="24"/>
        </w:rPr>
        <w:t>EJERCICIO DE LOS RECURSOS</w:t>
      </w:r>
    </w:p>
    <w:p w14:paraId="04662555" w14:textId="77777777" w:rsidR="00640418" w:rsidRPr="0084402E" w:rsidRDefault="00640418" w:rsidP="004C0514">
      <w:pPr>
        <w:spacing w:after="0" w:line="240" w:lineRule="auto"/>
        <w:rPr>
          <w:rFonts w:ascii="Arial" w:eastAsiaTheme="majorEastAsia" w:hAnsi="Arial" w:cs="Arial"/>
          <w:b/>
          <w:bCs/>
          <w:i/>
          <w:iCs/>
          <w:sz w:val="24"/>
          <w:szCs w:val="24"/>
        </w:rPr>
      </w:pPr>
      <w:r w:rsidRPr="0084402E">
        <w:rPr>
          <w:rFonts w:ascii="Arial" w:eastAsiaTheme="majorEastAsia" w:hAnsi="Arial" w:cs="Arial"/>
          <w:b/>
          <w:bCs/>
          <w:i/>
          <w:iCs/>
          <w:sz w:val="24"/>
          <w:szCs w:val="24"/>
        </w:rPr>
        <w:br w:type="page"/>
      </w:r>
    </w:p>
    <w:p w14:paraId="5DB2E1E1" w14:textId="77777777" w:rsidR="00C671F3" w:rsidRPr="0084402E" w:rsidRDefault="00C671F3" w:rsidP="006D7BB6">
      <w:pPr>
        <w:spacing w:after="0" w:line="360" w:lineRule="auto"/>
        <w:ind w:left="284"/>
        <w:jc w:val="both"/>
        <w:rPr>
          <w:rFonts w:ascii="Arial" w:eastAsiaTheme="minorEastAsia" w:hAnsi="Arial" w:cs="Arial"/>
          <w:b/>
          <w:sz w:val="24"/>
          <w:szCs w:val="24"/>
        </w:rPr>
      </w:pPr>
      <w:bookmarkStart w:id="7" w:name="_Toc417393252"/>
      <w:bookmarkEnd w:id="6"/>
      <w:r w:rsidRPr="0084402E">
        <w:rPr>
          <w:rFonts w:ascii="Arial" w:eastAsiaTheme="minorEastAsia" w:hAnsi="Arial" w:cs="Arial"/>
          <w:b/>
          <w:sz w:val="24"/>
          <w:szCs w:val="24"/>
        </w:rPr>
        <w:lastRenderedPageBreak/>
        <w:t>18. Evolución financiera del</w:t>
      </w:r>
      <w:bookmarkEnd w:id="7"/>
      <w:r w:rsidRPr="0084402E">
        <w:rPr>
          <w:rFonts w:ascii="Arial" w:eastAsiaTheme="minorEastAsia" w:hAnsi="Arial" w:cs="Arial"/>
          <w:b/>
          <w:sz w:val="24"/>
          <w:szCs w:val="24"/>
        </w:rPr>
        <w:t xml:space="preserve"> Fondo</w:t>
      </w:r>
    </w:p>
    <w:p w14:paraId="329050D4" w14:textId="77777777" w:rsidR="006D7BB6" w:rsidRPr="0084402E" w:rsidRDefault="006D7BB6" w:rsidP="006D7BB6">
      <w:pPr>
        <w:spacing w:after="0" w:line="360" w:lineRule="auto"/>
        <w:jc w:val="both"/>
        <w:rPr>
          <w:rFonts w:ascii="Arial" w:eastAsiaTheme="minorEastAsia" w:hAnsi="Arial" w:cs="Arial"/>
          <w:b/>
          <w:sz w:val="24"/>
          <w:szCs w:val="24"/>
        </w:rPr>
      </w:pPr>
      <w:r w:rsidRPr="0084402E">
        <w:rPr>
          <w:rFonts w:ascii="Arial" w:eastAsiaTheme="minorEastAsia" w:hAnsi="Arial" w:cs="Arial"/>
          <w:b/>
          <w:sz w:val="24"/>
          <w:szCs w:val="24"/>
        </w:rPr>
        <w:t>RESPUESTA:</w:t>
      </w:r>
    </w:p>
    <w:p w14:paraId="6579918E" w14:textId="77777777" w:rsidR="008E5285" w:rsidRPr="0084402E" w:rsidRDefault="008E5285" w:rsidP="008E5285">
      <w:pPr>
        <w:spacing w:after="0" w:line="360" w:lineRule="auto"/>
        <w:jc w:val="both"/>
        <w:rPr>
          <w:rFonts w:ascii="Arial" w:eastAsiaTheme="minorEastAsia" w:hAnsi="Arial" w:cs="Arial"/>
          <w:sz w:val="24"/>
          <w:szCs w:val="24"/>
        </w:rPr>
      </w:pPr>
    </w:p>
    <w:p w14:paraId="03D1EBCD" w14:textId="09A862EC" w:rsidR="008E5285" w:rsidRPr="0084402E" w:rsidRDefault="005800CC" w:rsidP="008E5285">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L</w:t>
      </w:r>
      <w:r w:rsidR="008E5285" w:rsidRPr="0084402E">
        <w:rPr>
          <w:rFonts w:ascii="Arial" w:eastAsiaTheme="minorEastAsia" w:hAnsi="Arial" w:cs="Arial"/>
          <w:sz w:val="24"/>
          <w:szCs w:val="24"/>
        </w:rPr>
        <w:t>os recursos del Fondo para 2014 aumentaron en 8.54% con respecto de 2013, un incremento nominal mayor al incremento nominal promedio de los ú</w:t>
      </w:r>
      <w:r w:rsidRPr="0084402E">
        <w:rPr>
          <w:rFonts w:ascii="Arial" w:eastAsiaTheme="minorEastAsia" w:hAnsi="Arial" w:cs="Arial"/>
          <w:sz w:val="24"/>
          <w:szCs w:val="24"/>
        </w:rPr>
        <w:t>ltimos años (4.8%, ver Anexo II)</w:t>
      </w:r>
      <w:r w:rsidR="008E5285" w:rsidRPr="0084402E">
        <w:rPr>
          <w:rFonts w:ascii="Arial" w:eastAsiaTheme="minorEastAsia" w:hAnsi="Arial" w:cs="Arial"/>
          <w:sz w:val="24"/>
          <w:szCs w:val="24"/>
        </w:rPr>
        <w:t>. Por otra parte</w:t>
      </w:r>
      <w:r w:rsidR="007E2184" w:rsidRPr="0084402E">
        <w:rPr>
          <w:rFonts w:ascii="Arial" w:eastAsiaTheme="minorEastAsia" w:hAnsi="Arial" w:cs="Arial"/>
          <w:sz w:val="24"/>
          <w:szCs w:val="24"/>
        </w:rPr>
        <w:t>,</w:t>
      </w:r>
      <w:r w:rsidR="008E5285" w:rsidRPr="0084402E">
        <w:rPr>
          <w:rFonts w:ascii="Arial" w:eastAsiaTheme="minorEastAsia" w:hAnsi="Arial" w:cs="Arial"/>
          <w:sz w:val="24"/>
          <w:szCs w:val="24"/>
        </w:rPr>
        <w:t xml:space="preserve"> destaca un incremento sustantivo en los recursos complementarios del Fondo, que suman al presupuesto del IEAEY, que según indicó el Instituto provienen del Ramo 11 y son transferidos por el INEA. Derivado de ello el presupuesto del programa tiene un</w:t>
      </w:r>
      <w:r w:rsidRPr="0084402E">
        <w:rPr>
          <w:rFonts w:ascii="Arial" w:eastAsiaTheme="minorEastAsia" w:hAnsi="Arial" w:cs="Arial"/>
          <w:sz w:val="24"/>
          <w:szCs w:val="24"/>
        </w:rPr>
        <w:t>a variación en términos</w:t>
      </w:r>
      <w:r w:rsidR="008E5285" w:rsidRPr="0084402E">
        <w:rPr>
          <w:rFonts w:ascii="Arial" w:eastAsiaTheme="minorEastAsia" w:hAnsi="Arial" w:cs="Arial"/>
          <w:sz w:val="24"/>
          <w:szCs w:val="24"/>
        </w:rPr>
        <w:t xml:space="preserve"> nominal</w:t>
      </w:r>
      <w:r w:rsidRPr="0084402E">
        <w:rPr>
          <w:rFonts w:ascii="Arial" w:eastAsiaTheme="minorEastAsia" w:hAnsi="Arial" w:cs="Arial"/>
          <w:sz w:val="24"/>
          <w:szCs w:val="24"/>
        </w:rPr>
        <w:t>es</w:t>
      </w:r>
      <w:r w:rsidR="008E5285" w:rsidRPr="0084402E">
        <w:rPr>
          <w:rFonts w:ascii="Arial" w:eastAsiaTheme="minorEastAsia" w:hAnsi="Arial" w:cs="Arial"/>
          <w:sz w:val="24"/>
          <w:szCs w:val="24"/>
        </w:rPr>
        <w:t xml:space="preserve"> con respecto de 2013 de 59.06%, un incremento considerable, que contrasta con </w:t>
      </w:r>
      <w:r w:rsidR="009818F5" w:rsidRPr="0084402E">
        <w:rPr>
          <w:rFonts w:ascii="Arial" w:eastAsiaTheme="minorEastAsia" w:hAnsi="Arial" w:cs="Arial"/>
          <w:sz w:val="24"/>
          <w:szCs w:val="24"/>
        </w:rPr>
        <w:t>el</w:t>
      </w:r>
      <w:r w:rsidR="008E5285" w:rsidRPr="0084402E">
        <w:rPr>
          <w:rFonts w:ascii="Arial" w:eastAsiaTheme="minorEastAsia" w:hAnsi="Arial" w:cs="Arial"/>
          <w:sz w:val="24"/>
          <w:szCs w:val="24"/>
        </w:rPr>
        <w:t xml:space="preserve"> incremento en la población atendida, la cobertura y la eficacia de la cobertura. </w:t>
      </w:r>
    </w:p>
    <w:p w14:paraId="274FCA93" w14:textId="77777777" w:rsidR="005800CC" w:rsidRPr="0084402E" w:rsidRDefault="005800CC" w:rsidP="005800CC">
      <w:pPr>
        <w:spacing w:after="0" w:line="360" w:lineRule="auto"/>
        <w:jc w:val="both"/>
        <w:rPr>
          <w:rFonts w:ascii="Arial" w:eastAsiaTheme="minorEastAsia" w:hAnsi="Arial" w:cs="Arial"/>
          <w:sz w:val="24"/>
          <w:szCs w:val="24"/>
        </w:rPr>
      </w:pPr>
    </w:p>
    <w:p w14:paraId="3B1B3E99" w14:textId="4498D0C3" w:rsidR="005800CC" w:rsidRPr="0084402E" w:rsidRDefault="005800CC" w:rsidP="005800CC">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Si se observa la evolución de los recursos que ha tenido el Fondo, por lo menos desde el 2001, en términos reales los recursos transferidos al estado de Yucatán no ha</w:t>
      </w:r>
      <w:r w:rsidR="00055972" w:rsidRPr="0084402E">
        <w:rPr>
          <w:rFonts w:ascii="Arial" w:eastAsiaTheme="minorEastAsia" w:hAnsi="Arial" w:cs="Arial"/>
          <w:sz w:val="24"/>
          <w:szCs w:val="24"/>
        </w:rPr>
        <w:t>n</w:t>
      </w:r>
      <w:r w:rsidRPr="0084402E">
        <w:rPr>
          <w:rFonts w:ascii="Arial" w:eastAsiaTheme="minorEastAsia" w:hAnsi="Arial" w:cs="Arial"/>
          <w:sz w:val="24"/>
          <w:szCs w:val="24"/>
        </w:rPr>
        <w:t xml:space="preserve"> incrementado, incluso la variación porcentual promedio es negativa de acuerdo con</w:t>
      </w:r>
      <w:r w:rsidR="00055972" w:rsidRPr="0084402E">
        <w:rPr>
          <w:rFonts w:ascii="Arial" w:eastAsiaTheme="minorEastAsia" w:hAnsi="Arial" w:cs="Arial"/>
          <w:sz w:val="24"/>
          <w:szCs w:val="24"/>
        </w:rPr>
        <w:t xml:space="preserve"> los cálculos realizados con base en</w:t>
      </w:r>
      <w:r w:rsidRPr="0084402E">
        <w:rPr>
          <w:rFonts w:ascii="Arial" w:eastAsiaTheme="minorEastAsia" w:hAnsi="Arial" w:cs="Arial"/>
          <w:sz w:val="24"/>
          <w:szCs w:val="24"/>
        </w:rPr>
        <w:t xml:space="preserve"> estadísticas del Instituto Nacional de Evaluación de la Educación, (ver Anexo II).  Aún en términos nominales, sin considerar el i</w:t>
      </w:r>
      <w:r w:rsidR="00A17F47" w:rsidRPr="0084402E">
        <w:rPr>
          <w:rFonts w:ascii="Arial" w:eastAsiaTheme="minorEastAsia" w:hAnsi="Arial" w:cs="Arial"/>
          <w:sz w:val="24"/>
          <w:szCs w:val="24"/>
        </w:rPr>
        <w:t>ncremento anual de los precios,</w:t>
      </w:r>
      <w:r w:rsidRPr="0084402E">
        <w:rPr>
          <w:rFonts w:ascii="Arial" w:eastAsiaTheme="minorEastAsia" w:hAnsi="Arial" w:cs="Arial"/>
          <w:sz w:val="24"/>
          <w:szCs w:val="24"/>
        </w:rPr>
        <w:t xml:space="preserve"> el incremento promedio de 8.54% por ciento, se considera insuficiente para logar un incremento significativo de la cobertura. </w:t>
      </w:r>
      <w:r w:rsidR="008874C1" w:rsidRPr="0084402E">
        <w:rPr>
          <w:rFonts w:ascii="Arial" w:eastAsiaTheme="minorEastAsia" w:hAnsi="Arial" w:cs="Arial"/>
          <w:sz w:val="24"/>
          <w:szCs w:val="24"/>
        </w:rPr>
        <w:t xml:space="preserve">Sin embargo se considera que con los recursos complementarios </w:t>
      </w:r>
      <w:r w:rsidR="009818F5" w:rsidRPr="0084402E">
        <w:rPr>
          <w:rFonts w:ascii="Arial" w:eastAsiaTheme="minorEastAsia" w:hAnsi="Arial" w:cs="Arial"/>
          <w:sz w:val="24"/>
          <w:szCs w:val="24"/>
        </w:rPr>
        <w:t xml:space="preserve">se </w:t>
      </w:r>
      <w:r w:rsidR="007E2184" w:rsidRPr="0084402E">
        <w:rPr>
          <w:rFonts w:ascii="Arial" w:eastAsiaTheme="minorEastAsia" w:hAnsi="Arial" w:cs="Arial"/>
          <w:sz w:val="24"/>
          <w:szCs w:val="24"/>
        </w:rPr>
        <w:t>fortaleció</w:t>
      </w:r>
      <w:r w:rsidR="008874C1" w:rsidRPr="0084402E">
        <w:rPr>
          <w:rFonts w:ascii="Arial" w:eastAsiaTheme="minorEastAsia" w:hAnsi="Arial" w:cs="Arial"/>
          <w:sz w:val="24"/>
          <w:szCs w:val="24"/>
        </w:rPr>
        <w:t xml:space="preserve"> </w:t>
      </w:r>
      <w:r w:rsidR="009818F5" w:rsidRPr="0084402E">
        <w:rPr>
          <w:rFonts w:ascii="Arial" w:eastAsiaTheme="minorEastAsia" w:hAnsi="Arial" w:cs="Arial"/>
          <w:sz w:val="24"/>
          <w:szCs w:val="24"/>
        </w:rPr>
        <w:t xml:space="preserve">financieramente </w:t>
      </w:r>
      <w:r w:rsidR="008874C1" w:rsidRPr="0084402E">
        <w:rPr>
          <w:rFonts w:ascii="Arial" w:eastAsiaTheme="minorEastAsia" w:hAnsi="Arial" w:cs="Arial"/>
          <w:sz w:val="24"/>
          <w:szCs w:val="24"/>
        </w:rPr>
        <w:t>el programa.</w:t>
      </w:r>
    </w:p>
    <w:p w14:paraId="1F3D3B37" w14:textId="77777777" w:rsidR="005800CC" w:rsidRPr="0084402E" w:rsidRDefault="005800CC" w:rsidP="005800CC">
      <w:pPr>
        <w:spacing w:after="0" w:line="360" w:lineRule="auto"/>
        <w:jc w:val="both"/>
        <w:rPr>
          <w:rFonts w:ascii="Arial" w:eastAsiaTheme="minorEastAsia" w:hAnsi="Arial" w:cs="Arial"/>
          <w:sz w:val="24"/>
          <w:szCs w:val="24"/>
        </w:rPr>
      </w:pPr>
    </w:p>
    <w:p w14:paraId="0B157956" w14:textId="59D4BC48" w:rsidR="005800CC" w:rsidRPr="0084402E" w:rsidRDefault="005800CC" w:rsidP="005800CC">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Cabe destacar que la asignación de los recursos al Fondo en el Presupuesto de Egresos de la Federación corresponde únicamente a la Federación y obedece a los criterios establecidos en la LCF, que están orientados a la capacidad</w:t>
      </w:r>
      <w:r w:rsidR="00E46532" w:rsidRPr="0084402E">
        <w:rPr>
          <w:rFonts w:ascii="Arial" w:eastAsiaTheme="minorEastAsia" w:hAnsi="Arial" w:cs="Arial"/>
          <w:sz w:val="24"/>
          <w:szCs w:val="24"/>
        </w:rPr>
        <w:t xml:space="preserve"> de atención</w:t>
      </w:r>
      <w:r w:rsidRPr="0084402E">
        <w:rPr>
          <w:rFonts w:ascii="Arial" w:eastAsiaTheme="minorEastAsia" w:hAnsi="Arial" w:cs="Arial"/>
          <w:sz w:val="24"/>
          <w:szCs w:val="24"/>
        </w:rPr>
        <w:t xml:space="preserve"> instalada y no a la dimensión de la demanda o de </w:t>
      </w:r>
      <w:r w:rsidR="00753C8B" w:rsidRPr="0084402E">
        <w:rPr>
          <w:rFonts w:ascii="Arial" w:eastAsiaTheme="minorEastAsia" w:hAnsi="Arial" w:cs="Arial"/>
          <w:sz w:val="24"/>
          <w:szCs w:val="24"/>
        </w:rPr>
        <w:t>la</w:t>
      </w:r>
      <w:r w:rsidRPr="0084402E">
        <w:rPr>
          <w:rFonts w:ascii="Arial" w:eastAsiaTheme="minorEastAsia" w:hAnsi="Arial" w:cs="Arial"/>
          <w:sz w:val="24"/>
          <w:szCs w:val="24"/>
        </w:rPr>
        <w:t xml:space="preserve"> problemática, por lo que tanto el estado de Yucatán </w:t>
      </w:r>
      <w:r w:rsidR="00E46532" w:rsidRPr="0084402E">
        <w:rPr>
          <w:rFonts w:ascii="Arial" w:eastAsiaTheme="minorEastAsia" w:hAnsi="Arial" w:cs="Arial"/>
          <w:sz w:val="24"/>
          <w:szCs w:val="24"/>
        </w:rPr>
        <w:t>a través del IEAEY tiene</w:t>
      </w:r>
      <w:r w:rsidRPr="0084402E">
        <w:rPr>
          <w:rFonts w:ascii="Arial" w:eastAsiaTheme="minorEastAsia" w:hAnsi="Arial" w:cs="Arial"/>
          <w:sz w:val="24"/>
          <w:szCs w:val="24"/>
        </w:rPr>
        <w:t xml:space="preserve"> un margen limitado para un incremento significativo de la cobertura que permita una mayor disminución del rezago. No obstante, el incremento en los recursos complementarios del Ramo 11</w:t>
      </w:r>
      <w:r w:rsidR="00E46532" w:rsidRPr="0084402E">
        <w:rPr>
          <w:rFonts w:ascii="Arial" w:eastAsiaTheme="minorEastAsia" w:hAnsi="Arial" w:cs="Arial"/>
          <w:sz w:val="24"/>
          <w:szCs w:val="24"/>
        </w:rPr>
        <w:t xml:space="preserve"> que se dio para 2014</w:t>
      </w:r>
      <w:r w:rsidRPr="0084402E">
        <w:rPr>
          <w:rFonts w:ascii="Arial" w:eastAsiaTheme="minorEastAsia" w:hAnsi="Arial" w:cs="Arial"/>
          <w:sz w:val="24"/>
          <w:szCs w:val="24"/>
        </w:rPr>
        <w:t>, sí parece ser motivado por la dimensión de la problemática</w:t>
      </w:r>
      <w:r w:rsidR="007E2184" w:rsidRPr="0084402E">
        <w:rPr>
          <w:rFonts w:ascii="Arial" w:eastAsiaTheme="minorEastAsia" w:hAnsi="Arial" w:cs="Arial"/>
          <w:sz w:val="24"/>
          <w:szCs w:val="24"/>
        </w:rPr>
        <w:t>,</w:t>
      </w:r>
      <w:r w:rsidRPr="0084402E">
        <w:rPr>
          <w:rFonts w:ascii="Arial" w:eastAsiaTheme="minorEastAsia" w:hAnsi="Arial" w:cs="Arial"/>
          <w:sz w:val="24"/>
          <w:szCs w:val="24"/>
        </w:rPr>
        <w:t xml:space="preserve"> ya que  </w:t>
      </w:r>
      <w:r w:rsidR="008874C1" w:rsidRPr="0084402E">
        <w:rPr>
          <w:rFonts w:ascii="Arial" w:eastAsiaTheme="minorEastAsia" w:hAnsi="Arial" w:cs="Arial"/>
          <w:sz w:val="24"/>
          <w:szCs w:val="24"/>
        </w:rPr>
        <w:t xml:space="preserve">posiblemente se relaciona con el </w:t>
      </w:r>
      <w:r w:rsidRPr="0084402E">
        <w:rPr>
          <w:rFonts w:ascii="Arial" w:eastAsiaTheme="minorEastAsia" w:hAnsi="Arial" w:cs="Arial"/>
          <w:sz w:val="24"/>
          <w:szCs w:val="24"/>
        </w:rPr>
        <w:t xml:space="preserve">fortalecimiento de la </w:t>
      </w:r>
      <w:r w:rsidRPr="0084402E">
        <w:rPr>
          <w:rFonts w:ascii="Arial" w:eastAsiaTheme="minorEastAsia" w:hAnsi="Arial" w:cs="Arial"/>
          <w:sz w:val="24"/>
          <w:szCs w:val="24"/>
        </w:rPr>
        <w:lastRenderedPageBreak/>
        <w:t xml:space="preserve">política de atención al rezago educativo </w:t>
      </w:r>
      <w:r w:rsidR="008874C1" w:rsidRPr="0084402E">
        <w:rPr>
          <w:rFonts w:ascii="Arial" w:eastAsiaTheme="minorEastAsia" w:hAnsi="Arial" w:cs="Arial"/>
          <w:sz w:val="24"/>
          <w:szCs w:val="24"/>
        </w:rPr>
        <w:t xml:space="preserve">a nivel nacional </w:t>
      </w:r>
      <w:r w:rsidRPr="0084402E">
        <w:rPr>
          <w:rFonts w:ascii="Arial" w:eastAsiaTheme="minorEastAsia" w:hAnsi="Arial" w:cs="Arial"/>
          <w:sz w:val="24"/>
          <w:szCs w:val="24"/>
        </w:rPr>
        <w:t>a través de la Campaña Nacional de Alfabetización y Abatimiento del Rezago Educativo 2014-2018, lanzada a finales de 2013 por el Gobierno Federal. Sin embargo, ese fortalecimiento presupuestario no tiene mucho reflejo en el incremento de la cobertura ni de su eficacia, como se explicó en la respuesta a la pregunta No. 6.</w:t>
      </w:r>
    </w:p>
    <w:p w14:paraId="51DC8F3D" w14:textId="77777777" w:rsidR="005800CC" w:rsidRPr="0084402E" w:rsidRDefault="005800CC" w:rsidP="005800CC">
      <w:pPr>
        <w:spacing w:after="0" w:line="360" w:lineRule="auto"/>
        <w:jc w:val="both"/>
        <w:rPr>
          <w:rFonts w:ascii="Arial" w:eastAsiaTheme="minorEastAsia" w:hAnsi="Arial" w:cs="Arial"/>
          <w:sz w:val="24"/>
          <w:szCs w:val="24"/>
        </w:rPr>
      </w:pPr>
    </w:p>
    <w:p w14:paraId="156FFD71" w14:textId="77777777" w:rsidR="005800CC" w:rsidRPr="0084402E" w:rsidRDefault="005800CC" w:rsidP="005800CC">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De acuerdo con los informes del SFU, el programa ha sido exitoso en términos de logro educativo de la población </w:t>
      </w:r>
      <w:r w:rsidR="00483AE8" w:rsidRPr="0084402E">
        <w:rPr>
          <w:rFonts w:ascii="Arial" w:eastAsiaTheme="minorEastAsia" w:hAnsi="Arial" w:cs="Arial"/>
          <w:sz w:val="24"/>
          <w:szCs w:val="24"/>
        </w:rPr>
        <w:t xml:space="preserve">atendida, pero ésta </w:t>
      </w:r>
      <w:r w:rsidR="008874C1" w:rsidRPr="0084402E">
        <w:rPr>
          <w:rFonts w:ascii="Arial" w:eastAsiaTheme="minorEastAsia" w:hAnsi="Arial" w:cs="Arial"/>
          <w:sz w:val="24"/>
          <w:szCs w:val="24"/>
        </w:rPr>
        <w:t xml:space="preserve">se </w:t>
      </w:r>
      <w:r w:rsidR="00483AE8" w:rsidRPr="0084402E">
        <w:rPr>
          <w:rFonts w:ascii="Arial" w:eastAsiaTheme="minorEastAsia" w:hAnsi="Arial" w:cs="Arial"/>
          <w:sz w:val="24"/>
          <w:szCs w:val="24"/>
        </w:rPr>
        <w:t xml:space="preserve">ha incrementado poco no obstante al aumento de los recursos del programa. </w:t>
      </w:r>
    </w:p>
    <w:p w14:paraId="406607D1" w14:textId="77777777" w:rsidR="00753C8B" w:rsidRPr="0084402E" w:rsidRDefault="00753C8B" w:rsidP="005800CC">
      <w:pPr>
        <w:spacing w:after="0" w:line="360" w:lineRule="auto"/>
        <w:jc w:val="both"/>
        <w:rPr>
          <w:rFonts w:ascii="Arial" w:eastAsiaTheme="minorEastAsia" w:hAnsi="Arial" w:cs="Arial"/>
          <w:sz w:val="24"/>
          <w:szCs w:val="24"/>
        </w:rPr>
      </w:pPr>
    </w:p>
    <w:p w14:paraId="045A8935" w14:textId="77777777" w:rsidR="00483AE8" w:rsidRPr="0084402E" w:rsidRDefault="00483AE8" w:rsidP="005800CC">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Por otra parte, dados los retos que aún tiene el programa en cuando al diseño de indicadores y su seguimiento en los distintos instrumentos de planeación, programación y seguimiento utilizados, como se explica en el capítulo IV. Indicadores, es difícil vincular la evolución de los recursos financieros asignados a proporcionar los servicios educativos con </w:t>
      </w:r>
      <w:r w:rsidR="009F72EA" w:rsidRPr="0084402E">
        <w:rPr>
          <w:rFonts w:ascii="Arial" w:eastAsiaTheme="minorEastAsia" w:hAnsi="Arial" w:cs="Arial"/>
          <w:sz w:val="24"/>
          <w:szCs w:val="24"/>
        </w:rPr>
        <w:t xml:space="preserve">la evolución de los resultados del programa con respecto a años anteriores. </w:t>
      </w:r>
    </w:p>
    <w:p w14:paraId="204E6FBA" w14:textId="77777777" w:rsidR="005800CC" w:rsidRPr="0084402E" w:rsidRDefault="005800CC" w:rsidP="006D7BB6">
      <w:pPr>
        <w:spacing w:after="0" w:line="360" w:lineRule="auto"/>
        <w:jc w:val="both"/>
        <w:rPr>
          <w:rFonts w:ascii="Arial" w:eastAsiaTheme="minorEastAsia" w:hAnsi="Arial" w:cs="Arial"/>
          <w:sz w:val="24"/>
          <w:szCs w:val="24"/>
        </w:rPr>
      </w:pPr>
    </w:p>
    <w:tbl>
      <w:tblPr>
        <w:tblW w:w="7894" w:type="dxa"/>
        <w:jc w:val="center"/>
        <w:tblCellMar>
          <w:left w:w="70" w:type="dxa"/>
          <w:right w:w="70" w:type="dxa"/>
        </w:tblCellMar>
        <w:tblLook w:val="04A0" w:firstRow="1" w:lastRow="0" w:firstColumn="1" w:lastColumn="0" w:noHBand="0" w:noVBand="1"/>
      </w:tblPr>
      <w:tblGrid>
        <w:gridCol w:w="2601"/>
        <w:gridCol w:w="1675"/>
        <w:gridCol w:w="1809"/>
        <w:gridCol w:w="1809"/>
      </w:tblGrid>
      <w:tr w:rsidR="009229DF" w:rsidRPr="0084402E" w14:paraId="16FAB6F4" w14:textId="77777777" w:rsidTr="009229DF">
        <w:trPr>
          <w:trHeight w:val="900"/>
          <w:jc w:val="center"/>
        </w:trPr>
        <w:tc>
          <w:tcPr>
            <w:tcW w:w="7894" w:type="dxa"/>
            <w:gridSpan w:val="4"/>
            <w:tcBorders>
              <w:top w:val="single" w:sz="8" w:space="0" w:color="auto"/>
              <w:left w:val="single" w:sz="8" w:space="0" w:color="auto"/>
              <w:bottom w:val="single" w:sz="8" w:space="0" w:color="auto"/>
              <w:right w:val="single" w:sz="8" w:space="0" w:color="000000"/>
            </w:tcBorders>
            <w:shd w:val="clear" w:color="000000" w:fill="F2F2F2"/>
            <w:hideMark/>
          </w:tcPr>
          <w:p w14:paraId="7C20F242" w14:textId="77777777" w:rsidR="009229DF" w:rsidRPr="0084402E" w:rsidRDefault="009229DF" w:rsidP="009229DF">
            <w:pPr>
              <w:spacing w:after="0" w:line="240" w:lineRule="auto"/>
              <w:jc w:val="center"/>
              <w:rPr>
                <w:rFonts w:ascii="Calibri" w:eastAsia="Times New Roman" w:hAnsi="Calibri" w:cs="Calibri"/>
                <w:color w:val="0000FF"/>
                <w:sz w:val="24"/>
                <w:szCs w:val="24"/>
                <w:u w:val="single"/>
                <w:lang w:eastAsia="es-MX"/>
              </w:rPr>
            </w:pPr>
            <w:r w:rsidRPr="0084402E">
              <w:rPr>
                <w:rFonts w:ascii="Arial" w:eastAsiaTheme="minorEastAsia" w:hAnsi="Arial" w:cs="Arial"/>
                <w:b/>
                <w:i/>
                <w:sz w:val="24"/>
                <w:szCs w:val="24"/>
              </w:rPr>
              <w:t>Tabla</w:t>
            </w:r>
            <w:r w:rsidR="00277D82" w:rsidRPr="0084402E">
              <w:rPr>
                <w:rFonts w:ascii="Arial" w:eastAsiaTheme="minorEastAsia" w:hAnsi="Arial" w:cs="Arial"/>
                <w:b/>
                <w:i/>
                <w:sz w:val="24"/>
                <w:szCs w:val="24"/>
              </w:rPr>
              <w:t xml:space="preserve"> No. 9 </w:t>
            </w:r>
            <w:r w:rsidRPr="0084402E">
              <w:rPr>
                <w:rFonts w:ascii="Arial" w:eastAsiaTheme="minorEastAsia" w:hAnsi="Arial" w:cs="Arial"/>
                <w:b/>
                <w:i/>
                <w:sz w:val="24"/>
                <w:szCs w:val="24"/>
              </w:rPr>
              <w:t xml:space="preserve"> Evolución del Presupuesto del Programa</w:t>
            </w:r>
            <w:r w:rsidRPr="0084402E">
              <w:rPr>
                <w:rStyle w:val="Refdenotaalpie"/>
                <w:rFonts w:ascii="Arial" w:eastAsiaTheme="minorEastAsia" w:hAnsi="Arial" w:cs="Arial"/>
                <w:b/>
                <w:i/>
                <w:sz w:val="24"/>
                <w:szCs w:val="24"/>
              </w:rPr>
              <w:footnoteReference w:id="5"/>
            </w:r>
            <w:r w:rsidRPr="0084402E">
              <w:rPr>
                <w:rFonts w:ascii="Arial" w:eastAsiaTheme="minorEastAsia" w:hAnsi="Arial" w:cs="Arial"/>
                <w:b/>
                <w:i/>
                <w:sz w:val="24"/>
                <w:szCs w:val="24"/>
              </w:rPr>
              <w:t xml:space="preserve"> evaluado que ejerce recurso del </w:t>
            </w:r>
            <w:r w:rsidRPr="0084402E">
              <w:rPr>
                <w:rFonts w:ascii="Arial" w:eastAsiaTheme="minorEastAsia" w:hAnsi="Arial" w:cs="Arial"/>
                <w:b/>
                <w:bCs/>
                <w:i/>
                <w:sz w:val="24"/>
                <w:szCs w:val="24"/>
              </w:rPr>
              <w:t>Fondo</w:t>
            </w:r>
          </w:p>
        </w:tc>
      </w:tr>
      <w:tr w:rsidR="009229DF" w:rsidRPr="0084402E" w14:paraId="7F066FF6" w14:textId="77777777" w:rsidTr="009229DF">
        <w:trPr>
          <w:trHeight w:val="885"/>
          <w:jc w:val="center"/>
        </w:trPr>
        <w:tc>
          <w:tcPr>
            <w:tcW w:w="2745" w:type="dxa"/>
            <w:tcBorders>
              <w:top w:val="nil"/>
              <w:left w:val="single" w:sz="8" w:space="0" w:color="auto"/>
              <w:bottom w:val="single" w:sz="8" w:space="0" w:color="auto"/>
              <w:right w:val="single" w:sz="8" w:space="0" w:color="auto"/>
            </w:tcBorders>
            <w:shd w:val="clear" w:color="000000" w:fill="808080"/>
            <w:vAlign w:val="bottom"/>
            <w:hideMark/>
          </w:tcPr>
          <w:p w14:paraId="2B49748D" w14:textId="77777777" w:rsidR="009229DF" w:rsidRPr="0084402E" w:rsidRDefault="009229DF" w:rsidP="009229DF">
            <w:pPr>
              <w:spacing w:after="0" w:line="240" w:lineRule="auto"/>
              <w:jc w:val="center"/>
              <w:rPr>
                <w:rFonts w:ascii="Arial" w:eastAsia="Times New Roman" w:hAnsi="Arial" w:cs="Arial"/>
                <w:i/>
                <w:iCs/>
                <w:color w:val="FFFFFF"/>
                <w:sz w:val="24"/>
                <w:szCs w:val="24"/>
                <w:lang w:eastAsia="es-MX"/>
              </w:rPr>
            </w:pPr>
            <w:r w:rsidRPr="0084402E">
              <w:rPr>
                <w:rFonts w:ascii="Arial" w:eastAsia="Times New Roman" w:hAnsi="Arial" w:cs="Arial"/>
                <w:i/>
                <w:iCs/>
                <w:color w:val="FFFFFF"/>
                <w:sz w:val="24"/>
                <w:szCs w:val="24"/>
                <w:lang w:eastAsia="es-MX"/>
              </w:rPr>
              <w:t>Ejercicio Fiscal analizado</w:t>
            </w:r>
          </w:p>
        </w:tc>
        <w:tc>
          <w:tcPr>
            <w:tcW w:w="1670" w:type="dxa"/>
            <w:tcBorders>
              <w:top w:val="nil"/>
              <w:left w:val="nil"/>
              <w:bottom w:val="single" w:sz="8" w:space="0" w:color="auto"/>
              <w:right w:val="single" w:sz="8" w:space="0" w:color="auto"/>
            </w:tcBorders>
            <w:shd w:val="clear" w:color="000000" w:fill="808080"/>
            <w:vAlign w:val="bottom"/>
            <w:hideMark/>
          </w:tcPr>
          <w:p w14:paraId="3C090AC2" w14:textId="77777777" w:rsidR="009229DF" w:rsidRPr="0084402E" w:rsidRDefault="009229DF" w:rsidP="009229DF">
            <w:pPr>
              <w:spacing w:after="0" w:line="240" w:lineRule="auto"/>
              <w:jc w:val="center"/>
              <w:rPr>
                <w:rFonts w:ascii="Arial" w:eastAsia="Times New Roman" w:hAnsi="Arial" w:cs="Arial"/>
                <w:i/>
                <w:iCs/>
                <w:color w:val="FFFFFF"/>
                <w:sz w:val="24"/>
                <w:szCs w:val="24"/>
                <w:lang w:eastAsia="es-MX"/>
              </w:rPr>
            </w:pPr>
            <w:r w:rsidRPr="0084402E">
              <w:rPr>
                <w:rFonts w:ascii="Arial" w:eastAsia="Times New Roman" w:hAnsi="Arial" w:cs="Arial"/>
                <w:i/>
                <w:iCs/>
                <w:color w:val="FFFFFF"/>
                <w:sz w:val="24"/>
                <w:szCs w:val="24"/>
                <w:lang w:eastAsia="es-MX"/>
              </w:rPr>
              <w:t>Autorizado</w:t>
            </w:r>
          </w:p>
        </w:tc>
        <w:tc>
          <w:tcPr>
            <w:tcW w:w="1670" w:type="dxa"/>
            <w:tcBorders>
              <w:top w:val="nil"/>
              <w:left w:val="nil"/>
              <w:bottom w:val="single" w:sz="8" w:space="0" w:color="auto"/>
              <w:right w:val="single" w:sz="8" w:space="0" w:color="auto"/>
            </w:tcBorders>
            <w:shd w:val="clear" w:color="000000" w:fill="808080"/>
            <w:vAlign w:val="bottom"/>
            <w:hideMark/>
          </w:tcPr>
          <w:p w14:paraId="41EE7D88" w14:textId="77777777" w:rsidR="009229DF" w:rsidRPr="0084402E" w:rsidRDefault="009229DF" w:rsidP="009229DF">
            <w:pPr>
              <w:spacing w:after="0" w:line="240" w:lineRule="auto"/>
              <w:jc w:val="center"/>
              <w:rPr>
                <w:rFonts w:ascii="Arial" w:eastAsia="Times New Roman" w:hAnsi="Arial" w:cs="Arial"/>
                <w:i/>
                <w:iCs/>
                <w:color w:val="FFFFFF"/>
                <w:sz w:val="24"/>
                <w:szCs w:val="24"/>
                <w:lang w:eastAsia="es-MX"/>
              </w:rPr>
            </w:pPr>
            <w:r w:rsidRPr="0084402E">
              <w:rPr>
                <w:rFonts w:ascii="Arial" w:eastAsia="Times New Roman" w:hAnsi="Arial" w:cs="Arial"/>
                <w:i/>
                <w:iCs/>
                <w:color w:val="FFFFFF"/>
                <w:sz w:val="24"/>
                <w:szCs w:val="24"/>
                <w:lang w:eastAsia="es-MX"/>
              </w:rPr>
              <w:t>Modificado</w:t>
            </w:r>
          </w:p>
        </w:tc>
        <w:tc>
          <w:tcPr>
            <w:tcW w:w="1809" w:type="dxa"/>
            <w:tcBorders>
              <w:top w:val="nil"/>
              <w:left w:val="nil"/>
              <w:bottom w:val="single" w:sz="8" w:space="0" w:color="auto"/>
              <w:right w:val="single" w:sz="8" w:space="0" w:color="auto"/>
            </w:tcBorders>
            <w:shd w:val="clear" w:color="000000" w:fill="808080"/>
            <w:vAlign w:val="bottom"/>
            <w:hideMark/>
          </w:tcPr>
          <w:p w14:paraId="7552A810" w14:textId="77777777" w:rsidR="009229DF" w:rsidRPr="0084402E" w:rsidRDefault="009229DF" w:rsidP="009229DF">
            <w:pPr>
              <w:spacing w:after="0" w:line="240" w:lineRule="auto"/>
              <w:jc w:val="center"/>
              <w:rPr>
                <w:rFonts w:ascii="Arial" w:eastAsia="Times New Roman" w:hAnsi="Arial" w:cs="Arial"/>
                <w:i/>
                <w:iCs/>
                <w:color w:val="FFFFFF"/>
                <w:sz w:val="24"/>
                <w:szCs w:val="24"/>
                <w:lang w:eastAsia="es-MX"/>
              </w:rPr>
            </w:pPr>
            <w:r w:rsidRPr="0084402E">
              <w:rPr>
                <w:rFonts w:ascii="Arial" w:eastAsia="Times New Roman" w:hAnsi="Arial" w:cs="Arial"/>
                <w:i/>
                <w:iCs/>
                <w:color w:val="FFFFFF"/>
                <w:sz w:val="24"/>
                <w:szCs w:val="24"/>
                <w:lang w:eastAsia="es-MX"/>
              </w:rPr>
              <w:t>Ejercido</w:t>
            </w:r>
          </w:p>
        </w:tc>
      </w:tr>
      <w:tr w:rsidR="009229DF" w:rsidRPr="0084402E" w14:paraId="5E22B1EC" w14:textId="77777777" w:rsidTr="009229DF">
        <w:trPr>
          <w:trHeight w:val="315"/>
          <w:jc w:val="center"/>
        </w:trPr>
        <w:tc>
          <w:tcPr>
            <w:tcW w:w="2745" w:type="dxa"/>
            <w:tcBorders>
              <w:top w:val="nil"/>
              <w:left w:val="single" w:sz="8" w:space="0" w:color="auto"/>
              <w:bottom w:val="single" w:sz="8" w:space="0" w:color="auto"/>
              <w:right w:val="single" w:sz="8" w:space="0" w:color="auto"/>
            </w:tcBorders>
            <w:shd w:val="clear" w:color="auto" w:fill="auto"/>
            <w:vAlign w:val="bottom"/>
            <w:hideMark/>
          </w:tcPr>
          <w:p w14:paraId="35021DD7" w14:textId="77777777" w:rsidR="009229DF" w:rsidRPr="0084402E" w:rsidRDefault="009229DF" w:rsidP="009229DF">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2013</w:t>
            </w:r>
          </w:p>
        </w:tc>
        <w:tc>
          <w:tcPr>
            <w:tcW w:w="1670" w:type="dxa"/>
            <w:tcBorders>
              <w:top w:val="nil"/>
              <w:left w:val="nil"/>
              <w:bottom w:val="single" w:sz="8" w:space="0" w:color="auto"/>
              <w:right w:val="single" w:sz="8" w:space="0" w:color="auto"/>
            </w:tcBorders>
            <w:shd w:val="clear" w:color="auto" w:fill="auto"/>
            <w:vAlign w:val="bottom"/>
            <w:hideMark/>
          </w:tcPr>
          <w:p w14:paraId="2D3F831E" w14:textId="77777777" w:rsidR="009229DF" w:rsidRPr="0084402E" w:rsidRDefault="009229DF" w:rsidP="009229DF">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49,531,686</w:t>
            </w:r>
          </w:p>
        </w:tc>
        <w:tc>
          <w:tcPr>
            <w:tcW w:w="1670" w:type="dxa"/>
            <w:tcBorders>
              <w:top w:val="nil"/>
              <w:left w:val="nil"/>
              <w:bottom w:val="single" w:sz="8" w:space="0" w:color="auto"/>
              <w:right w:val="single" w:sz="8" w:space="0" w:color="auto"/>
            </w:tcBorders>
            <w:shd w:val="clear" w:color="auto" w:fill="auto"/>
            <w:vAlign w:val="center"/>
            <w:hideMark/>
          </w:tcPr>
          <w:p w14:paraId="7895F0B5" w14:textId="77777777" w:rsidR="009229DF" w:rsidRPr="0084402E" w:rsidRDefault="009229DF" w:rsidP="009229DF">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N/D</w:t>
            </w:r>
          </w:p>
        </w:tc>
        <w:tc>
          <w:tcPr>
            <w:tcW w:w="1809" w:type="dxa"/>
            <w:tcBorders>
              <w:top w:val="nil"/>
              <w:left w:val="nil"/>
              <w:bottom w:val="single" w:sz="8" w:space="0" w:color="auto"/>
              <w:right w:val="single" w:sz="8" w:space="0" w:color="auto"/>
            </w:tcBorders>
            <w:shd w:val="clear" w:color="auto" w:fill="auto"/>
            <w:vAlign w:val="bottom"/>
            <w:hideMark/>
          </w:tcPr>
          <w:p w14:paraId="2B4055A7" w14:textId="77777777" w:rsidR="009229DF" w:rsidRPr="0084402E" w:rsidRDefault="009229DF" w:rsidP="009229DF">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70,750,125</w:t>
            </w:r>
          </w:p>
        </w:tc>
      </w:tr>
      <w:tr w:rsidR="009229DF" w:rsidRPr="0084402E" w14:paraId="2D309FB5" w14:textId="77777777" w:rsidTr="009229DF">
        <w:trPr>
          <w:trHeight w:val="315"/>
          <w:jc w:val="center"/>
        </w:trPr>
        <w:tc>
          <w:tcPr>
            <w:tcW w:w="2745" w:type="dxa"/>
            <w:tcBorders>
              <w:top w:val="nil"/>
              <w:left w:val="single" w:sz="8" w:space="0" w:color="auto"/>
              <w:bottom w:val="single" w:sz="8" w:space="0" w:color="auto"/>
              <w:right w:val="single" w:sz="8" w:space="0" w:color="auto"/>
            </w:tcBorders>
            <w:shd w:val="clear" w:color="auto" w:fill="auto"/>
            <w:vAlign w:val="bottom"/>
            <w:hideMark/>
          </w:tcPr>
          <w:p w14:paraId="741084CC" w14:textId="77777777" w:rsidR="009229DF" w:rsidRPr="0084402E" w:rsidRDefault="009229DF" w:rsidP="009229DF">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2014</w:t>
            </w:r>
          </w:p>
        </w:tc>
        <w:tc>
          <w:tcPr>
            <w:tcW w:w="1670" w:type="dxa"/>
            <w:tcBorders>
              <w:top w:val="nil"/>
              <w:left w:val="nil"/>
              <w:bottom w:val="single" w:sz="8" w:space="0" w:color="auto"/>
              <w:right w:val="single" w:sz="8" w:space="0" w:color="auto"/>
            </w:tcBorders>
            <w:shd w:val="clear" w:color="auto" w:fill="auto"/>
            <w:vAlign w:val="bottom"/>
            <w:hideMark/>
          </w:tcPr>
          <w:p w14:paraId="38C36CB0" w14:textId="77777777" w:rsidR="009229DF" w:rsidRPr="0084402E" w:rsidRDefault="009229DF" w:rsidP="009229DF">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90,098,464.00</w:t>
            </w:r>
          </w:p>
        </w:tc>
        <w:tc>
          <w:tcPr>
            <w:tcW w:w="1670" w:type="dxa"/>
            <w:tcBorders>
              <w:top w:val="nil"/>
              <w:left w:val="nil"/>
              <w:bottom w:val="single" w:sz="8" w:space="0" w:color="auto"/>
              <w:right w:val="single" w:sz="8" w:space="0" w:color="auto"/>
            </w:tcBorders>
            <w:shd w:val="clear" w:color="auto" w:fill="auto"/>
            <w:vAlign w:val="bottom"/>
            <w:hideMark/>
          </w:tcPr>
          <w:p w14:paraId="3C2D690A" w14:textId="77777777" w:rsidR="009229DF" w:rsidRPr="0084402E" w:rsidRDefault="009229DF" w:rsidP="009229DF">
            <w:pPr>
              <w:spacing w:after="0" w:line="240" w:lineRule="auto"/>
              <w:jc w:val="both"/>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112,537,426.66</w:t>
            </w:r>
          </w:p>
        </w:tc>
        <w:tc>
          <w:tcPr>
            <w:tcW w:w="1809" w:type="dxa"/>
            <w:tcBorders>
              <w:top w:val="nil"/>
              <w:left w:val="nil"/>
              <w:bottom w:val="single" w:sz="8" w:space="0" w:color="auto"/>
              <w:right w:val="single" w:sz="8" w:space="0" w:color="auto"/>
            </w:tcBorders>
            <w:shd w:val="clear" w:color="auto" w:fill="auto"/>
            <w:vAlign w:val="bottom"/>
            <w:hideMark/>
          </w:tcPr>
          <w:p w14:paraId="35237AF4" w14:textId="77777777" w:rsidR="009229DF" w:rsidRPr="0084402E" w:rsidRDefault="009229DF" w:rsidP="009229DF">
            <w:pPr>
              <w:spacing w:after="0" w:line="240" w:lineRule="auto"/>
              <w:jc w:val="both"/>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112,537,426.66</w:t>
            </w:r>
          </w:p>
        </w:tc>
      </w:tr>
      <w:tr w:rsidR="009229DF" w:rsidRPr="0084402E" w14:paraId="6965826E" w14:textId="77777777" w:rsidTr="009229DF">
        <w:trPr>
          <w:trHeight w:val="975"/>
          <w:jc w:val="center"/>
        </w:trPr>
        <w:tc>
          <w:tcPr>
            <w:tcW w:w="7894" w:type="dxa"/>
            <w:gridSpan w:val="4"/>
            <w:tcBorders>
              <w:top w:val="single" w:sz="8" w:space="0" w:color="auto"/>
              <w:left w:val="nil"/>
              <w:bottom w:val="nil"/>
              <w:right w:val="nil"/>
            </w:tcBorders>
            <w:shd w:val="clear" w:color="auto" w:fill="auto"/>
            <w:hideMark/>
          </w:tcPr>
          <w:p w14:paraId="3D6BBE04" w14:textId="77777777" w:rsidR="009229DF" w:rsidRPr="00197E7F" w:rsidRDefault="009229DF" w:rsidP="00197E7F">
            <w:pPr>
              <w:spacing w:after="0" w:line="240" w:lineRule="auto"/>
              <w:jc w:val="both"/>
              <w:rPr>
                <w:rFonts w:ascii="Calibri" w:eastAsia="Times New Roman" w:hAnsi="Calibri" w:cs="Calibri"/>
                <w:b/>
                <w:color w:val="000000"/>
                <w:sz w:val="24"/>
                <w:szCs w:val="24"/>
                <w:lang w:eastAsia="es-MX"/>
              </w:rPr>
            </w:pPr>
            <w:r w:rsidRPr="00197E7F">
              <w:rPr>
                <w:rFonts w:ascii="Calibri" w:eastAsia="Times New Roman" w:hAnsi="Calibri" w:cs="Calibri"/>
                <w:b/>
                <w:color w:val="000000"/>
                <w:sz w:val="20"/>
                <w:szCs w:val="24"/>
                <w:lang w:eastAsia="es-MX"/>
              </w:rPr>
              <w:t>Fuente 2013: Presupuesto Autorizado: Presupuesto de Egresos del Gobierno del Estado de Yucatán para el Ejercicio Fiscal 2013: Tomo V: Programa Operativo Anual; Ejercido: Cuenta Pública 2013 del Gobierno del Estado de Yucatán</w:t>
            </w:r>
            <w:r w:rsidR="00F46FE2" w:rsidRPr="00197E7F">
              <w:rPr>
                <w:rFonts w:ascii="Calibri" w:eastAsia="Times New Roman" w:hAnsi="Calibri" w:cs="Calibri"/>
                <w:b/>
                <w:color w:val="000000"/>
                <w:sz w:val="20"/>
                <w:szCs w:val="24"/>
                <w:lang w:eastAsia="es-MX"/>
              </w:rPr>
              <w:t xml:space="preserve"> 2013</w:t>
            </w:r>
            <w:r w:rsidRPr="00197E7F">
              <w:rPr>
                <w:rFonts w:ascii="Calibri" w:eastAsia="Times New Roman" w:hAnsi="Calibri" w:cs="Calibri"/>
                <w:b/>
                <w:color w:val="000000"/>
                <w:sz w:val="20"/>
                <w:szCs w:val="24"/>
                <w:lang w:eastAsia="es-MX"/>
              </w:rPr>
              <w:t>.</w:t>
            </w:r>
          </w:p>
        </w:tc>
      </w:tr>
      <w:tr w:rsidR="009229DF" w:rsidRPr="00197E7F" w14:paraId="04909E6D" w14:textId="77777777" w:rsidTr="009229DF">
        <w:trPr>
          <w:trHeight w:val="810"/>
          <w:jc w:val="center"/>
        </w:trPr>
        <w:tc>
          <w:tcPr>
            <w:tcW w:w="7894" w:type="dxa"/>
            <w:gridSpan w:val="4"/>
            <w:tcBorders>
              <w:top w:val="nil"/>
              <w:left w:val="nil"/>
              <w:bottom w:val="nil"/>
              <w:right w:val="nil"/>
            </w:tcBorders>
            <w:shd w:val="clear" w:color="auto" w:fill="auto"/>
            <w:vAlign w:val="bottom"/>
            <w:hideMark/>
          </w:tcPr>
          <w:p w14:paraId="7649B423" w14:textId="77777777" w:rsidR="009229DF" w:rsidRPr="00197E7F" w:rsidRDefault="009229DF" w:rsidP="00197E7F">
            <w:pPr>
              <w:spacing w:after="0" w:line="240" w:lineRule="auto"/>
              <w:jc w:val="both"/>
              <w:rPr>
                <w:rFonts w:ascii="Calibri" w:eastAsia="Times New Roman" w:hAnsi="Calibri" w:cs="Calibri"/>
                <w:b/>
                <w:color w:val="000000"/>
                <w:sz w:val="20"/>
                <w:szCs w:val="24"/>
                <w:lang w:eastAsia="es-MX"/>
              </w:rPr>
            </w:pPr>
            <w:r w:rsidRPr="00197E7F">
              <w:rPr>
                <w:rFonts w:ascii="Calibri" w:eastAsia="Times New Roman" w:hAnsi="Calibri" w:cs="Calibri"/>
                <w:b/>
                <w:color w:val="000000"/>
                <w:sz w:val="20"/>
                <w:szCs w:val="24"/>
                <w:lang w:eastAsia="es-MX"/>
              </w:rPr>
              <w:lastRenderedPageBreak/>
              <w:t>Fuente 2014: Cuenta Pública 2014 de Gobierno del  Estado de Yucatán. Clasificación Administrativa. Ente Público: Instituto de Educación para Adultos del Estado de Yucatán, del 1ro de enero al 31 de diciembre de 2014</w:t>
            </w:r>
          </w:p>
        </w:tc>
      </w:tr>
    </w:tbl>
    <w:p w14:paraId="3B1A6AE1" w14:textId="77777777" w:rsidR="00C671F3" w:rsidRPr="0084402E" w:rsidRDefault="00C671F3" w:rsidP="004C0514">
      <w:pPr>
        <w:spacing w:line="360" w:lineRule="auto"/>
        <w:jc w:val="both"/>
        <w:rPr>
          <w:rFonts w:ascii="Arial" w:hAnsi="Arial" w:cs="Arial"/>
          <w:b/>
          <w:sz w:val="24"/>
          <w:szCs w:val="24"/>
        </w:rPr>
      </w:pPr>
    </w:p>
    <w:tbl>
      <w:tblPr>
        <w:tblW w:w="7795" w:type="dxa"/>
        <w:jc w:val="center"/>
        <w:tblCellMar>
          <w:left w:w="0" w:type="dxa"/>
          <w:right w:w="0" w:type="dxa"/>
        </w:tblCellMar>
        <w:tblLook w:val="04A0" w:firstRow="1" w:lastRow="0" w:firstColumn="1" w:lastColumn="0" w:noHBand="0" w:noVBand="1"/>
      </w:tblPr>
      <w:tblGrid>
        <w:gridCol w:w="2446"/>
        <w:gridCol w:w="1680"/>
        <w:gridCol w:w="1640"/>
        <w:gridCol w:w="2029"/>
      </w:tblGrid>
      <w:tr w:rsidR="00476696" w:rsidRPr="0084402E" w14:paraId="605C9FEA" w14:textId="77777777" w:rsidTr="00476696">
        <w:trPr>
          <w:trHeight w:val="315"/>
          <w:jc w:val="center"/>
        </w:trPr>
        <w:tc>
          <w:tcPr>
            <w:tcW w:w="7795" w:type="dxa"/>
            <w:gridSpan w:val="4"/>
            <w:tcBorders>
              <w:top w:val="single" w:sz="8" w:space="0" w:color="auto"/>
              <w:left w:val="single" w:sz="8" w:space="0" w:color="auto"/>
              <w:bottom w:val="single" w:sz="8" w:space="0" w:color="auto"/>
              <w:right w:val="single" w:sz="8" w:space="0" w:color="000000"/>
            </w:tcBorders>
            <w:shd w:val="clear" w:color="000000" w:fill="F2F2F2"/>
            <w:tcMar>
              <w:top w:w="12" w:type="dxa"/>
              <w:left w:w="12" w:type="dxa"/>
              <w:bottom w:w="0" w:type="dxa"/>
              <w:right w:w="12" w:type="dxa"/>
            </w:tcMar>
            <w:hideMark/>
          </w:tcPr>
          <w:p w14:paraId="7F8304D0" w14:textId="77777777" w:rsidR="00476696" w:rsidRPr="0084402E" w:rsidRDefault="00277D82">
            <w:pPr>
              <w:jc w:val="center"/>
              <w:rPr>
                <w:rFonts w:ascii="Arial" w:hAnsi="Arial" w:cs="Arial"/>
                <w:b/>
                <w:bCs/>
                <w:i/>
                <w:iCs/>
                <w:color w:val="000000"/>
                <w:sz w:val="24"/>
                <w:szCs w:val="24"/>
              </w:rPr>
            </w:pPr>
            <w:r w:rsidRPr="0084402E">
              <w:rPr>
                <w:rFonts w:ascii="Arial" w:hAnsi="Arial" w:cs="Arial"/>
                <w:b/>
                <w:bCs/>
                <w:i/>
                <w:iCs/>
                <w:color w:val="000000"/>
                <w:sz w:val="24"/>
                <w:szCs w:val="24"/>
              </w:rPr>
              <w:t>Tabla No. 10</w:t>
            </w:r>
            <w:r w:rsidR="00476696" w:rsidRPr="0084402E">
              <w:rPr>
                <w:rFonts w:ascii="Arial" w:hAnsi="Arial" w:cs="Arial"/>
                <w:b/>
                <w:bCs/>
                <w:i/>
                <w:iCs/>
                <w:color w:val="000000"/>
                <w:sz w:val="24"/>
                <w:szCs w:val="24"/>
              </w:rPr>
              <w:t xml:space="preserve"> Evolución del Presupuesto del Fondo</w:t>
            </w:r>
          </w:p>
        </w:tc>
      </w:tr>
      <w:tr w:rsidR="00476696" w:rsidRPr="0084402E" w14:paraId="0B152AA5" w14:textId="77777777" w:rsidTr="00476696">
        <w:trPr>
          <w:trHeight w:val="600"/>
          <w:jc w:val="center"/>
        </w:trPr>
        <w:tc>
          <w:tcPr>
            <w:tcW w:w="2446" w:type="dxa"/>
            <w:tcBorders>
              <w:top w:val="nil"/>
              <w:left w:val="single" w:sz="8" w:space="0" w:color="auto"/>
              <w:bottom w:val="single" w:sz="8" w:space="0" w:color="auto"/>
              <w:right w:val="single" w:sz="8" w:space="0" w:color="auto"/>
            </w:tcBorders>
            <w:shd w:val="clear" w:color="000000" w:fill="808080"/>
            <w:tcMar>
              <w:top w:w="12" w:type="dxa"/>
              <w:left w:w="12" w:type="dxa"/>
              <w:bottom w:w="0" w:type="dxa"/>
              <w:right w:w="12" w:type="dxa"/>
            </w:tcMar>
            <w:vAlign w:val="bottom"/>
            <w:hideMark/>
          </w:tcPr>
          <w:p w14:paraId="5C6FB3B1" w14:textId="77777777" w:rsidR="00476696" w:rsidRPr="0084402E" w:rsidRDefault="00476696">
            <w:pPr>
              <w:jc w:val="center"/>
              <w:rPr>
                <w:rFonts w:ascii="Arial" w:hAnsi="Arial" w:cs="Arial"/>
                <w:i/>
                <w:iCs/>
                <w:color w:val="FFFFFF"/>
                <w:sz w:val="24"/>
                <w:szCs w:val="24"/>
              </w:rPr>
            </w:pPr>
            <w:r w:rsidRPr="0084402E">
              <w:rPr>
                <w:rFonts w:ascii="Arial" w:hAnsi="Arial" w:cs="Arial"/>
                <w:i/>
                <w:iCs/>
                <w:color w:val="FFFFFF"/>
                <w:sz w:val="24"/>
                <w:szCs w:val="24"/>
              </w:rPr>
              <w:t>Ejercicio Fiscal analizado</w:t>
            </w:r>
          </w:p>
        </w:tc>
        <w:tc>
          <w:tcPr>
            <w:tcW w:w="1680" w:type="dxa"/>
            <w:tcBorders>
              <w:top w:val="nil"/>
              <w:left w:val="nil"/>
              <w:bottom w:val="single" w:sz="8" w:space="0" w:color="auto"/>
              <w:right w:val="single" w:sz="8" w:space="0" w:color="auto"/>
            </w:tcBorders>
            <w:shd w:val="clear" w:color="000000" w:fill="808080"/>
            <w:tcMar>
              <w:top w:w="12" w:type="dxa"/>
              <w:left w:w="12" w:type="dxa"/>
              <w:bottom w:w="0" w:type="dxa"/>
              <w:right w:w="12" w:type="dxa"/>
            </w:tcMar>
            <w:vAlign w:val="bottom"/>
            <w:hideMark/>
          </w:tcPr>
          <w:p w14:paraId="444D656B" w14:textId="77777777" w:rsidR="00476696" w:rsidRPr="0084402E" w:rsidRDefault="00476696">
            <w:pPr>
              <w:jc w:val="center"/>
              <w:rPr>
                <w:rFonts w:ascii="Arial" w:hAnsi="Arial" w:cs="Arial"/>
                <w:i/>
                <w:iCs/>
                <w:color w:val="FFFFFF"/>
                <w:sz w:val="24"/>
                <w:szCs w:val="24"/>
              </w:rPr>
            </w:pPr>
            <w:r w:rsidRPr="0084402E">
              <w:rPr>
                <w:rFonts w:ascii="Arial" w:hAnsi="Arial" w:cs="Arial"/>
                <w:i/>
                <w:iCs/>
                <w:color w:val="FFFFFF"/>
                <w:sz w:val="24"/>
                <w:szCs w:val="24"/>
              </w:rPr>
              <w:t>Autorizado</w:t>
            </w:r>
          </w:p>
        </w:tc>
        <w:tc>
          <w:tcPr>
            <w:tcW w:w="1640" w:type="dxa"/>
            <w:tcBorders>
              <w:top w:val="nil"/>
              <w:left w:val="nil"/>
              <w:bottom w:val="single" w:sz="8" w:space="0" w:color="auto"/>
              <w:right w:val="single" w:sz="8" w:space="0" w:color="auto"/>
            </w:tcBorders>
            <w:shd w:val="clear" w:color="000000" w:fill="808080"/>
            <w:tcMar>
              <w:top w:w="12" w:type="dxa"/>
              <w:left w:w="12" w:type="dxa"/>
              <w:bottom w:w="0" w:type="dxa"/>
              <w:right w:w="12" w:type="dxa"/>
            </w:tcMar>
            <w:vAlign w:val="bottom"/>
            <w:hideMark/>
          </w:tcPr>
          <w:p w14:paraId="683884B9" w14:textId="77777777" w:rsidR="00476696" w:rsidRPr="0084402E" w:rsidRDefault="00476696">
            <w:pPr>
              <w:jc w:val="center"/>
              <w:rPr>
                <w:rFonts w:ascii="Arial" w:hAnsi="Arial" w:cs="Arial"/>
                <w:i/>
                <w:iCs/>
                <w:color w:val="FFFFFF"/>
                <w:sz w:val="24"/>
                <w:szCs w:val="24"/>
              </w:rPr>
            </w:pPr>
            <w:r w:rsidRPr="0084402E">
              <w:rPr>
                <w:rFonts w:ascii="Arial" w:hAnsi="Arial" w:cs="Arial"/>
                <w:i/>
                <w:iCs/>
                <w:color w:val="FFFFFF"/>
                <w:sz w:val="24"/>
                <w:szCs w:val="24"/>
              </w:rPr>
              <w:t>Modificado</w:t>
            </w:r>
          </w:p>
        </w:tc>
        <w:tc>
          <w:tcPr>
            <w:tcW w:w="2029" w:type="dxa"/>
            <w:tcBorders>
              <w:top w:val="nil"/>
              <w:left w:val="nil"/>
              <w:bottom w:val="single" w:sz="8" w:space="0" w:color="auto"/>
              <w:right w:val="single" w:sz="8" w:space="0" w:color="auto"/>
            </w:tcBorders>
            <w:shd w:val="clear" w:color="000000" w:fill="808080"/>
            <w:tcMar>
              <w:top w:w="12" w:type="dxa"/>
              <w:left w:w="12" w:type="dxa"/>
              <w:bottom w:w="0" w:type="dxa"/>
              <w:right w:w="12" w:type="dxa"/>
            </w:tcMar>
            <w:vAlign w:val="bottom"/>
            <w:hideMark/>
          </w:tcPr>
          <w:p w14:paraId="5B4898A7" w14:textId="77777777" w:rsidR="00476696" w:rsidRPr="0084402E" w:rsidRDefault="00476696">
            <w:pPr>
              <w:jc w:val="center"/>
              <w:rPr>
                <w:rFonts w:ascii="Arial" w:hAnsi="Arial" w:cs="Arial"/>
                <w:i/>
                <w:iCs/>
                <w:color w:val="FFFFFF"/>
                <w:sz w:val="24"/>
                <w:szCs w:val="24"/>
              </w:rPr>
            </w:pPr>
            <w:r w:rsidRPr="0084402E">
              <w:rPr>
                <w:rFonts w:ascii="Arial" w:hAnsi="Arial" w:cs="Arial"/>
                <w:i/>
                <w:iCs/>
                <w:color w:val="FFFFFF"/>
                <w:sz w:val="24"/>
                <w:szCs w:val="24"/>
              </w:rPr>
              <w:t>Ejercido</w:t>
            </w:r>
          </w:p>
        </w:tc>
      </w:tr>
      <w:tr w:rsidR="00476696" w:rsidRPr="0084402E" w14:paraId="38EA5CCA" w14:textId="77777777" w:rsidTr="00476696">
        <w:trPr>
          <w:trHeight w:val="315"/>
          <w:jc w:val="center"/>
        </w:trPr>
        <w:tc>
          <w:tcPr>
            <w:tcW w:w="2446" w:type="dxa"/>
            <w:tcBorders>
              <w:top w:val="nil"/>
              <w:left w:val="single" w:sz="8" w:space="0" w:color="auto"/>
              <w:bottom w:val="single" w:sz="8" w:space="0" w:color="auto"/>
              <w:right w:val="single" w:sz="8" w:space="0" w:color="auto"/>
            </w:tcBorders>
            <w:shd w:val="clear" w:color="auto" w:fill="auto"/>
            <w:tcMar>
              <w:top w:w="12" w:type="dxa"/>
              <w:left w:w="12" w:type="dxa"/>
              <w:bottom w:w="0" w:type="dxa"/>
              <w:right w:w="12" w:type="dxa"/>
            </w:tcMar>
            <w:vAlign w:val="bottom"/>
            <w:hideMark/>
          </w:tcPr>
          <w:p w14:paraId="4611A59A" w14:textId="77777777" w:rsidR="00476696" w:rsidRPr="0084402E" w:rsidRDefault="00476696">
            <w:pPr>
              <w:jc w:val="center"/>
              <w:rPr>
                <w:rFonts w:ascii="Arial" w:hAnsi="Arial" w:cs="Arial"/>
                <w:color w:val="000000"/>
                <w:sz w:val="24"/>
                <w:szCs w:val="24"/>
              </w:rPr>
            </w:pPr>
            <w:r w:rsidRPr="0084402E">
              <w:rPr>
                <w:rFonts w:ascii="Arial" w:hAnsi="Arial" w:cs="Arial"/>
                <w:color w:val="000000"/>
                <w:sz w:val="24"/>
                <w:szCs w:val="24"/>
              </w:rPr>
              <w:t>2013</w:t>
            </w:r>
          </w:p>
        </w:tc>
        <w:tc>
          <w:tcPr>
            <w:tcW w:w="1680" w:type="dxa"/>
            <w:tcBorders>
              <w:top w:val="nil"/>
              <w:left w:val="nil"/>
              <w:bottom w:val="single" w:sz="8" w:space="0" w:color="auto"/>
              <w:right w:val="single" w:sz="8" w:space="0" w:color="auto"/>
            </w:tcBorders>
            <w:shd w:val="clear" w:color="auto" w:fill="auto"/>
            <w:tcMar>
              <w:top w:w="12" w:type="dxa"/>
              <w:left w:w="12" w:type="dxa"/>
              <w:bottom w:w="0" w:type="dxa"/>
              <w:right w:w="12" w:type="dxa"/>
            </w:tcMar>
            <w:vAlign w:val="bottom"/>
            <w:hideMark/>
          </w:tcPr>
          <w:p w14:paraId="2E0ADE7C" w14:textId="77777777" w:rsidR="00476696" w:rsidRPr="0084402E" w:rsidRDefault="00476696">
            <w:pPr>
              <w:jc w:val="center"/>
              <w:rPr>
                <w:rFonts w:ascii="Arial" w:hAnsi="Arial" w:cs="Arial"/>
                <w:color w:val="000000"/>
                <w:sz w:val="24"/>
                <w:szCs w:val="24"/>
              </w:rPr>
            </w:pPr>
            <w:r w:rsidRPr="0084402E">
              <w:rPr>
                <w:rFonts w:ascii="Arial" w:hAnsi="Arial" w:cs="Arial"/>
                <w:color w:val="000000"/>
                <w:sz w:val="24"/>
                <w:szCs w:val="24"/>
              </w:rPr>
              <w:t>60,497,022</w:t>
            </w:r>
          </w:p>
        </w:tc>
        <w:tc>
          <w:tcPr>
            <w:tcW w:w="1640" w:type="dxa"/>
            <w:tcBorders>
              <w:top w:val="nil"/>
              <w:left w:val="nil"/>
              <w:bottom w:val="single" w:sz="8" w:space="0" w:color="auto"/>
              <w:right w:val="single" w:sz="8" w:space="0" w:color="auto"/>
            </w:tcBorders>
            <w:shd w:val="clear" w:color="auto" w:fill="auto"/>
            <w:tcMar>
              <w:top w:w="12" w:type="dxa"/>
              <w:left w:w="12" w:type="dxa"/>
              <w:bottom w:w="0" w:type="dxa"/>
              <w:right w:w="12" w:type="dxa"/>
            </w:tcMar>
            <w:vAlign w:val="bottom"/>
            <w:hideMark/>
          </w:tcPr>
          <w:p w14:paraId="72061735" w14:textId="77777777" w:rsidR="00476696" w:rsidRPr="0084402E" w:rsidRDefault="00476696">
            <w:pPr>
              <w:jc w:val="center"/>
              <w:rPr>
                <w:rFonts w:ascii="Arial" w:hAnsi="Arial" w:cs="Arial"/>
                <w:color w:val="000000"/>
                <w:sz w:val="24"/>
                <w:szCs w:val="24"/>
              </w:rPr>
            </w:pPr>
            <w:r w:rsidRPr="0084402E">
              <w:rPr>
                <w:rFonts w:ascii="Arial" w:hAnsi="Arial" w:cs="Arial"/>
                <w:color w:val="000000"/>
                <w:sz w:val="24"/>
                <w:szCs w:val="24"/>
              </w:rPr>
              <w:t>61,741,122</w:t>
            </w:r>
          </w:p>
        </w:tc>
        <w:tc>
          <w:tcPr>
            <w:tcW w:w="2029" w:type="dxa"/>
            <w:tcBorders>
              <w:top w:val="nil"/>
              <w:left w:val="nil"/>
              <w:bottom w:val="single" w:sz="8" w:space="0" w:color="auto"/>
              <w:right w:val="single" w:sz="8" w:space="0" w:color="auto"/>
            </w:tcBorders>
            <w:shd w:val="clear" w:color="auto" w:fill="auto"/>
            <w:tcMar>
              <w:top w:w="12" w:type="dxa"/>
              <w:left w:w="12" w:type="dxa"/>
              <w:bottom w:w="0" w:type="dxa"/>
              <w:right w:w="12" w:type="dxa"/>
            </w:tcMar>
            <w:vAlign w:val="bottom"/>
            <w:hideMark/>
          </w:tcPr>
          <w:p w14:paraId="6EB53620" w14:textId="77777777" w:rsidR="00476696" w:rsidRPr="0084402E" w:rsidRDefault="00476696">
            <w:pPr>
              <w:jc w:val="center"/>
              <w:rPr>
                <w:rFonts w:ascii="Arial" w:hAnsi="Arial" w:cs="Arial"/>
                <w:color w:val="000000"/>
                <w:sz w:val="24"/>
                <w:szCs w:val="24"/>
              </w:rPr>
            </w:pPr>
            <w:r w:rsidRPr="0084402E">
              <w:rPr>
                <w:rFonts w:ascii="Arial" w:hAnsi="Arial" w:cs="Arial"/>
                <w:color w:val="000000"/>
                <w:sz w:val="24"/>
                <w:szCs w:val="24"/>
              </w:rPr>
              <w:t>58,597,658</w:t>
            </w:r>
          </w:p>
        </w:tc>
      </w:tr>
      <w:tr w:rsidR="00476696" w:rsidRPr="0084402E" w14:paraId="474EFC11" w14:textId="77777777" w:rsidTr="00476696">
        <w:trPr>
          <w:trHeight w:val="315"/>
          <w:jc w:val="center"/>
        </w:trPr>
        <w:tc>
          <w:tcPr>
            <w:tcW w:w="2446" w:type="dxa"/>
            <w:tcBorders>
              <w:top w:val="nil"/>
              <w:left w:val="single" w:sz="8" w:space="0" w:color="auto"/>
              <w:bottom w:val="single" w:sz="8" w:space="0" w:color="auto"/>
              <w:right w:val="single" w:sz="8" w:space="0" w:color="auto"/>
            </w:tcBorders>
            <w:shd w:val="clear" w:color="auto" w:fill="auto"/>
            <w:tcMar>
              <w:top w:w="12" w:type="dxa"/>
              <w:left w:w="12" w:type="dxa"/>
              <w:bottom w:w="0" w:type="dxa"/>
              <w:right w:w="12" w:type="dxa"/>
            </w:tcMar>
            <w:vAlign w:val="bottom"/>
            <w:hideMark/>
          </w:tcPr>
          <w:p w14:paraId="11F69245" w14:textId="77777777" w:rsidR="00476696" w:rsidRPr="0084402E" w:rsidRDefault="00476696">
            <w:pPr>
              <w:jc w:val="center"/>
              <w:rPr>
                <w:rFonts w:ascii="Arial" w:hAnsi="Arial" w:cs="Arial"/>
                <w:color w:val="000000"/>
                <w:sz w:val="24"/>
                <w:szCs w:val="24"/>
              </w:rPr>
            </w:pPr>
            <w:r w:rsidRPr="0084402E">
              <w:rPr>
                <w:rFonts w:ascii="Arial" w:hAnsi="Arial" w:cs="Arial"/>
                <w:color w:val="000000"/>
                <w:sz w:val="24"/>
                <w:szCs w:val="24"/>
              </w:rPr>
              <w:t>2014</w:t>
            </w:r>
          </w:p>
        </w:tc>
        <w:tc>
          <w:tcPr>
            <w:tcW w:w="1680" w:type="dxa"/>
            <w:tcBorders>
              <w:top w:val="nil"/>
              <w:left w:val="nil"/>
              <w:bottom w:val="single" w:sz="8" w:space="0" w:color="auto"/>
              <w:right w:val="single" w:sz="8" w:space="0" w:color="auto"/>
            </w:tcBorders>
            <w:shd w:val="clear" w:color="auto" w:fill="auto"/>
            <w:tcMar>
              <w:top w:w="12" w:type="dxa"/>
              <w:left w:w="12" w:type="dxa"/>
              <w:bottom w:w="0" w:type="dxa"/>
              <w:right w:w="12" w:type="dxa"/>
            </w:tcMar>
            <w:vAlign w:val="bottom"/>
            <w:hideMark/>
          </w:tcPr>
          <w:p w14:paraId="3B560F39" w14:textId="77777777" w:rsidR="00476696" w:rsidRPr="0084402E" w:rsidRDefault="00476696">
            <w:pPr>
              <w:jc w:val="center"/>
              <w:rPr>
                <w:rFonts w:ascii="Arial" w:hAnsi="Arial" w:cs="Arial"/>
                <w:color w:val="000000"/>
                <w:sz w:val="24"/>
                <w:szCs w:val="24"/>
              </w:rPr>
            </w:pPr>
            <w:r w:rsidRPr="0084402E">
              <w:rPr>
                <w:rFonts w:ascii="Arial" w:hAnsi="Arial" w:cs="Arial"/>
                <w:color w:val="000000"/>
                <w:sz w:val="24"/>
                <w:szCs w:val="24"/>
              </w:rPr>
              <w:t>61,857,968</w:t>
            </w:r>
          </w:p>
        </w:tc>
        <w:tc>
          <w:tcPr>
            <w:tcW w:w="1640" w:type="dxa"/>
            <w:tcBorders>
              <w:top w:val="nil"/>
              <w:left w:val="nil"/>
              <w:bottom w:val="single" w:sz="8" w:space="0" w:color="auto"/>
              <w:right w:val="single" w:sz="8" w:space="0" w:color="auto"/>
            </w:tcBorders>
            <w:shd w:val="clear" w:color="auto" w:fill="auto"/>
            <w:tcMar>
              <w:top w:w="12" w:type="dxa"/>
              <w:left w:w="12" w:type="dxa"/>
              <w:bottom w:w="0" w:type="dxa"/>
              <w:right w:w="12" w:type="dxa"/>
            </w:tcMar>
            <w:vAlign w:val="bottom"/>
            <w:hideMark/>
          </w:tcPr>
          <w:p w14:paraId="6F92D359" w14:textId="77777777" w:rsidR="00476696" w:rsidRPr="0084402E" w:rsidRDefault="00476696">
            <w:pPr>
              <w:jc w:val="center"/>
              <w:rPr>
                <w:rFonts w:ascii="Arial" w:hAnsi="Arial" w:cs="Arial"/>
                <w:color w:val="000000"/>
                <w:sz w:val="24"/>
                <w:szCs w:val="24"/>
              </w:rPr>
            </w:pPr>
            <w:r w:rsidRPr="0084402E">
              <w:rPr>
                <w:rFonts w:ascii="Arial" w:hAnsi="Arial" w:cs="Arial"/>
                <w:color w:val="000000"/>
                <w:sz w:val="24"/>
                <w:szCs w:val="24"/>
              </w:rPr>
              <w:t>63,603,368</w:t>
            </w:r>
          </w:p>
        </w:tc>
        <w:tc>
          <w:tcPr>
            <w:tcW w:w="2029" w:type="dxa"/>
            <w:tcBorders>
              <w:top w:val="nil"/>
              <w:left w:val="nil"/>
              <w:bottom w:val="single" w:sz="8" w:space="0" w:color="auto"/>
              <w:right w:val="single" w:sz="8" w:space="0" w:color="auto"/>
            </w:tcBorders>
            <w:shd w:val="clear" w:color="auto" w:fill="auto"/>
            <w:tcMar>
              <w:top w:w="12" w:type="dxa"/>
              <w:left w:w="12" w:type="dxa"/>
              <w:bottom w:w="0" w:type="dxa"/>
              <w:right w:w="12" w:type="dxa"/>
            </w:tcMar>
            <w:vAlign w:val="bottom"/>
            <w:hideMark/>
          </w:tcPr>
          <w:p w14:paraId="6EC2EEC5" w14:textId="77777777" w:rsidR="00476696" w:rsidRPr="0084402E" w:rsidRDefault="00476696">
            <w:pPr>
              <w:jc w:val="center"/>
              <w:rPr>
                <w:rFonts w:ascii="Arial" w:hAnsi="Arial" w:cs="Arial"/>
                <w:color w:val="000000"/>
                <w:sz w:val="24"/>
                <w:szCs w:val="24"/>
              </w:rPr>
            </w:pPr>
            <w:r w:rsidRPr="0084402E">
              <w:rPr>
                <w:rFonts w:ascii="Arial" w:hAnsi="Arial" w:cs="Arial"/>
                <w:color w:val="000000"/>
                <w:sz w:val="24"/>
                <w:szCs w:val="24"/>
              </w:rPr>
              <w:t>63,603,368</w:t>
            </w:r>
          </w:p>
        </w:tc>
      </w:tr>
      <w:tr w:rsidR="00476696" w:rsidRPr="00197E7F" w14:paraId="0CD032FD" w14:textId="77777777" w:rsidTr="00476696">
        <w:trPr>
          <w:trHeight w:val="780"/>
          <w:jc w:val="center"/>
        </w:trPr>
        <w:tc>
          <w:tcPr>
            <w:tcW w:w="7795" w:type="dxa"/>
            <w:gridSpan w:val="4"/>
            <w:tcBorders>
              <w:top w:val="single" w:sz="8" w:space="0" w:color="auto"/>
              <w:left w:val="nil"/>
              <w:bottom w:val="nil"/>
              <w:right w:val="nil"/>
            </w:tcBorders>
            <w:shd w:val="clear" w:color="auto" w:fill="auto"/>
            <w:tcMar>
              <w:top w:w="12" w:type="dxa"/>
              <w:left w:w="12" w:type="dxa"/>
              <w:bottom w:w="0" w:type="dxa"/>
              <w:right w:w="12" w:type="dxa"/>
            </w:tcMar>
            <w:vAlign w:val="bottom"/>
            <w:hideMark/>
          </w:tcPr>
          <w:p w14:paraId="3C2905CC" w14:textId="77777777" w:rsidR="00476696" w:rsidRPr="00197E7F" w:rsidRDefault="00476696" w:rsidP="00197E7F">
            <w:pPr>
              <w:jc w:val="both"/>
              <w:rPr>
                <w:rFonts w:ascii="Calibri" w:hAnsi="Calibri" w:cs="Calibri"/>
                <w:b/>
                <w:color w:val="000000"/>
                <w:sz w:val="20"/>
                <w:szCs w:val="24"/>
              </w:rPr>
            </w:pPr>
            <w:r w:rsidRPr="00197E7F">
              <w:rPr>
                <w:rFonts w:ascii="Calibri" w:hAnsi="Calibri" w:cs="Calibri"/>
                <w:b/>
                <w:color w:val="000000"/>
                <w:sz w:val="20"/>
                <w:szCs w:val="24"/>
              </w:rPr>
              <w:t>Fuente para 2013: Anexo de Finanzas Públicas XXI.</w:t>
            </w:r>
            <w:r w:rsidR="00DC1A82" w:rsidRPr="00197E7F">
              <w:rPr>
                <w:rFonts w:ascii="Calibri" w:hAnsi="Calibri" w:cs="Calibri"/>
                <w:b/>
                <w:color w:val="000000"/>
                <w:sz w:val="20"/>
                <w:szCs w:val="24"/>
              </w:rPr>
              <w:t xml:space="preserve"> </w:t>
            </w:r>
            <w:r w:rsidRPr="00197E7F">
              <w:rPr>
                <w:rFonts w:ascii="Calibri" w:hAnsi="Calibri" w:cs="Calibri"/>
                <w:b/>
                <w:color w:val="000000"/>
                <w:sz w:val="20"/>
                <w:szCs w:val="24"/>
              </w:rPr>
              <w:t xml:space="preserve">Recursos Federales. Carpeta Nivel Fondo del Informe de la Situación Económica las Finanzas Públicas y la Deuda Pública al 4to Trimestre de 2013, de la SHCP: </w:t>
            </w:r>
          </w:p>
        </w:tc>
      </w:tr>
      <w:tr w:rsidR="00476696" w:rsidRPr="00197E7F" w14:paraId="100BCB36" w14:textId="77777777" w:rsidTr="00476696">
        <w:trPr>
          <w:trHeight w:val="705"/>
          <w:jc w:val="center"/>
        </w:trPr>
        <w:tc>
          <w:tcPr>
            <w:tcW w:w="7795" w:type="dxa"/>
            <w:gridSpan w:val="4"/>
            <w:tcBorders>
              <w:top w:val="nil"/>
              <w:left w:val="nil"/>
              <w:bottom w:val="nil"/>
              <w:right w:val="nil"/>
            </w:tcBorders>
            <w:shd w:val="clear" w:color="auto" w:fill="auto"/>
            <w:tcMar>
              <w:top w:w="12" w:type="dxa"/>
              <w:left w:w="12" w:type="dxa"/>
              <w:bottom w:w="0" w:type="dxa"/>
              <w:right w:w="12" w:type="dxa"/>
            </w:tcMar>
            <w:vAlign w:val="bottom"/>
            <w:hideMark/>
          </w:tcPr>
          <w:p w14:paraId="2A40B927" w14:textId="77777777" w:rsidR="00476696" w:rsidRPr="00197E7F" w:rsidRDefault="00476696" w:rsidP="00197E7F">
            <w:pPr>
              <w:jc w:val="both"/>
              <w:rPr>
                <w:rFonts w:ascii="Calibri" w:hAnsi="Calibri" w:cs="Calibri"/>
                <w:b/>
                <w:color w:val="000000"/>
                <w:sz w:val="20"/>
                <w:szCs w:val="24"/>
              </w:rPr>
            </w:pPr>
            <w:r w:rsidRPr="00197E7F">
              <w:rPr>
                <w:rFonts w:ascii="Calibri" w:hAnsi="Calibri" w:cs="Calibri"/>
                <w:b/>
                <w:color w:val="000000"/>
                <w:sz w:val="20"/>
                <w:szCs w:val="24"/>
              </w:rPr>
              <w:t>Fuente para 2014: Anexos de Finanzas Públicas XXIII. Informe sobre el Ejercicio, Destino y Resultados de los Recursos Federales Transferidos a las Entidades Federativas y Municipios. Carpeta Avance Financiero. Archivo Electrónico, del 1ro al 4to trimestres de 2014 de la SHCP.</w:t>
            </w:r>
          </w:p>
        </w:tc>
      </w:tr>
    </w:tbl>
    <w:p w14:paraId="2F7F9961" w14:textId="77777777" w:rsidR="00640418" w:rsidRPr="0084402E" w:rsidRDefault="00476696" w:rsidP="00250968">
      <w:pPr>
        <w:spacing w:after="0" w:line="240" w:lineRule="auto"/>
        <w:rPr>
          <w:rFonts w:ascii="Arial" w:hAnsi="Arial" w:cs="Arial"/>
          <w:sz w:val="24"/>
          <w:szCs w:val="24"/>
        </w:rPr>
      </w:pPr>
      <w:r w:rsidRPr="0084402E">
        <w:rPr>
          <w:rFonts w:ascii="Arial" w:hAnsi="Arial" w:cs="Arial"/>
          <w:sz w:val="24"/>
          <w:szCs w:val="24"/>
        </w:rPr>
        <w:t xml:space="preserve"> </w:t>
      </w:r>
      <w:r w:rsidR="00890196" w:rsidRPr="0084402E">
        <w:rPr>
          <w:rFonts w:ascii="Arial" w:hAnsi="Arial" w:cs="Arial"/>
          <w:sz w:val="24"/>
          <w:szCs w:val="24"/>
        </w:rPr>
        <w:br w:type="page"/>
      </w:r>
    </w:p>
    <w:p w14:paraId="4D2BF202" w14:textId="77777777" w:rsidR="00640418" w:rsidRDefault="00640418" w:rsidP="004C0514">
      <w:pPr>
        <w:spacing w:after="0" w:line="360" w:lineRule="auto"/>
        <w:jc w:val="center"/>
        <w:rPr>
          <w:rFonts w:ascii="Arial" w:hAnsi="Arial" w:cs="Arial"/>
          <w:sz w:val="24"/>
          <w:szCs w:val="24"/>
        </w:rPr>
      </w:pPr>
    </w:p>
    <w:p w14:paraId="59F233CA" w14:textId="77777777" w:rsidR="00197E7F" w:rsidRDefault="00197E7F" w:rsidP="004C0514">
      <w:pPr>
        <w:spacing w:after="0" w:line="360" w:lineRule="auto"/>
        <w:jc w:val="center"/>
        <w:rPr>
          <w:rFonts w:ascii="Arial" w:hAnsi="Arial" w:cs="Arial"/>
          <w:sz w:val="24"/>
          <w:szCs w:val="24"/>
        </w:rPr>
      </w:pPr>
    </w:p>
    <w:p w14:paraId="3BB9BD00" w14:textId="77777777" w:rsidR="00197E7F" w:rsidRDefault="00197E7F" w:rsidP="004C0514">
      <w:pPr>
        <w:spacing w:after="0" w:line="360" w:lineRule="auto"/>
        <w:jc w:val="center"/>
        <w:rPr>
          <w:rFonts w:ascii="Arial" w:hAnsi="Arial" w:cs="Arial"/>
          <w:sz w:val="24"/>
          <w:szCs w:val="24"/>
        </w:rPr>
      </w:pPr>
    </w:p>
    <w:p w14:paraId="5F948310" w14:textId="77777777" w:rsidR="00197E7F" w:rsidRPr="0084402E" w:rsidRDefault="00197E7F" w:rsidP="004C0514">
      <w:pPr>
        <w:spacing w:after="0" w:line="360" w:lineRule="auto"/>
        <w:jc w:val="center"/>
        <w:rPr>
          <w:rFonts w:ascii="Arial" w:hAnsi="Arial" w:cs="Arial"/>
          <w:sz w:val="24"/>
          <w:szCs w:val="24"/>
        </w:rPr>
      </w:pPr>
    </w:p>
    <w:p w14:paraId="29F0136A" w14:textId="77777777" w:rsidR="00640418" w:rsidRPr="0084402E" w:rsidRDefault="00640418" w:rsidP="004C0514">
      <w:pPr>
        <w:spacing w:after="0" w:line="360" w:lineRule="auto"/>
        <w:jc w:val="center"/>
        <w:rPr>
          <w:rFonts w:ascii="Arial" w:hAnsi="Arial" w:cs="Arial"/>
          <w:sz w:val="24"/>
          <w:szCs w:val="24"/>
        </w:rPr>
      </w:pPr>
    </w:p>
    <w:p w14:paraId="7A25976E" w14:textId="77777777" w:rsidR="00640418" w:rsidRPr="0084402E" w:rsidRDefault="00640418" w:rsidP="004C0514">
      <w:pPr>
        <w:spacing w:after="0" w:line="360" w:lineRule="auto"/>
        <w:jc w:val="center"/>
        <w:rPr>
          <w:rFonts w:ascii="Arial" w:hAnsi="Arial" w:cs="Arial"/>
          <w:sz w:val="24"/>
          <w:szCs w:val="24"/>
        </w:rPr>
      </w:pPr>
    </w:p>
    <w:p w14:paraId="0F2F5392" w14:textId="77777777" w:rsidR="00640418" w:rsidRPr="0084402E" w:rsidRDefault="00640418" w:rsidP="004C0514">
      <w:pPr>
        <w:spacing w:after="0" w:line="360" w:lineRule="auto"/>
        <w:jc w:val="center"/>
        <w:rPr>
          <w:rFonts w:ascii="Arial" w:hAnsi="Arial" w:cs="Arial"/>
          <w:sz w:val="24"/>
          <w:szCs w:val="24"/>
        </w:rPr>
      </w:pPr>
    </w:p>
    <w:p w14:paraId="25A5BE37" w14:textId="77777777" w:rsidR="00640418" w:rsidRDefault="00640418" w:rsidP="004C0514">
      <w:pPr>
        <w:spacing w:after="0" w:line="360" w:lineRule="auto"/>
        <w:jc w:val="center"/>
        <w:rPr>
          <w:rFonts w:ascii="Arial" w:hAnsi="Arial" w:cs="Arial"/>
          <w:sz w:val="24"/>
          <w:szCs w:val="24"/>
        </w:rPr>
      </w:pPr>
    </w:p>
    <w:p w14:paraId="35C590B4" w14:textId="77777777" w:rsidR="00315EF2" w:rsidRDefault="00315EF2" w:rsidP="004C0514">
      <w:pPr>
        <w:spacing w:after="0" w:line="360" w:lineRule="auto"/>
        <w:jc w:val="center"/>
        <w:rPr>
          <w:rFonts w:ascii="Arial" w:hAnsi="Arial" w:cs="Arial"/>
          <w:sz w:val="24"/>
          <w:szCs w:val="24"/>
        </w:rPr>
      </w:pPr>
    </w:p>
    <w:p w14:paraId="774D29F8" w14:textId="77777777" w:rsidR="00315EF2" w:rsidRDefault="00315EF2" w:rsidP="004C0514">
      <w:pPr>
        <w:spacing w:after="0" w:line="360" w:lineRule="auto"/>
        <w:jc w:val="center"/>
        <w:rPr>
          <w:rFonts w:ascii="Arial" w:hAnsi="Arial" w:cs="Arial"/>
          <w:sz w:val="24"/>
          <w:szCs w:val="24"/>
        </w:rPr>
      </w:pPr>
    </w:p>
    <w:p w14:paraId="66501477" w14:textId="77777777" w:rsidR="00315EF2" w:rsidRPr="0084402E" w:rsidRDefault="00315EF2" w:rsidP="004C0514">
      <w:pPr>
        <w:spacing w:after="0" w:line="360" w:lineRule="auto"/>
        <w:jc w:val="center"/>
        <w:rPr>
          <w:rFonts w:ascii="Arial" w:hAnsi="Arial" w:cs="Arial"/>
          <w:sz w:val="24"/>
          <w:szCs w:val="24"/>
        </w:rPr>
      </w:pPr>
    </w:p>
    <w:p w14:paraId="627F03F8" w14:textId="77777777" w:rsidR="00640418" w:rsidRPr="0084402E" w:rsidRDefault="00640418" w:rsidP="004C0514">
      <w:pPr>
        <w:spacing w:after="0" w:line="360" w:lineRule="auto"/>
        <w:jc w:val="center"/>
        <w:rPr>
          <w:rFonts w:ascii="Arial" w:hAnsi="Arial" w:cs="Arial"/>
          <w:sz w:val="24"/>
          <w:szCs w:val="24"/>
        </w:rPr>
      </w:pPr>
    </w:p>
    <w:p w14:paraId="3DC81F94" w14:textId="77777777" w:rsidR="00640418" w:rsidRPr="0084402E" w:rsidRDefault="00640418" w:rsidP="004C0514">
      <w:pPr>
        <w:spacing w:after="0" w:line="360" w:lineRule="auto"/>
        <w:jc w:val="center"/>
        <w:rPr>
          <w:rFonts w:ascii="Arial" w:hAnsi="Arial" w:cs="Arial"/>
          <w:sz w:val="24"/>
          <w:szCs w:val="24"/>
        </w:rPr>
      </w:pPr>
    </w:p>
    <w:p w14:paraId="41704C7A" w14:textId="77777777" w:rsidR="00640418" w:rsidRPr="0084402E" w:rsidRDefault="00640418" w:rsidP="004C0514">
      <w:pPr>
        <w:spacing w:after="0" w:line="360" w:lineRule="auto"/>
        <w:jc w:val="center"/>
        <w:rPr>
          <w:rFonts w:ascii="Arial" w:hAnsi="Arial" w:cs="Arial"/>
          <w:sz w:val="24"/>
          <w:szCs w:val="24"/>
        </w:rPr>
      </w:pPr>
    </w:p>
    <w:p w14:paraId="0C32CAC0" w14:textId="296C002D" w:rsidR="00640418" w:rsidRPr="0084402E" w:rsidRDefault="006D7BB6" w:rsidP="004C0514">
      <w:pPr>
        <w:spacing w:after="0" w:line="360" w:lineRule="auto"/>
        <w:jc w:val="center"/>
        <w:rPr>
          <w:rFonts w:ascii="Arial" w:eastAsiaTheme="minorEastAsia" w:hAnsi="Arial" w:cs="Arial"/>
          <w:b/>
          <w:sz w:val="24"/>
          <w:szCs w:val="24"/>
        </w:rPr>
      </w:pPr>
      <w:r w:rsidRPr="0084402E">
        <w:rPr>
          <w:rFonts w:ascii="Arial" w:hAnsi="Arial" w:cs="Arial"/>
          <w:b/>
          <w:sz w:val="24"/>
          <w:szCs w:val="24"/>
        </w:rPr>
        <w:t>VII</w:t>
      </w:r>
      <w:r w:rsidR="00934175">
        <w:rPr>
          <w:rFonts w:ascii="Arial" w:hAnsi="Arial" w:cs="Arial"/>
          <w:b/>
          <w:sz w:val="24"/>
          <w:szCs w:val="24"/>
        </w:rPr>
        <w:t>I</w:t>
      </w:r>
      <w:r w:rsidRPr="0084402E">
        <w:rPr>
          <w:rFonts w:ascii="Arial" w:hAnsi="Arial" w:cs="Arial"/>
          <w:b/>
          <w:sz w:val="24"/>
          <w:szCs w:val="24"/>
        </w:rPr>
        <w:t xml:space="preserve">. </w:t>
      </w:r>
      <w:r w:rsidRPr="0084402E">
        <w:rPr>
          <w:rFonts w:ascii="Arial" w:eastAsiaTheme="minorEastAsia" w:hAnsi="Arial" w:cs="Arial"/>
          <w:b/>
          <w:sz w:val="24"/>
          <w:szCs w:val="24"/>
        </w:rPr>
        <w:t>HALLAZGOS</w:t>
      </w:r>
    </w:p>
    <w:p w14:paraId="1398E6D8" w14:textId="77777777" w:rsidR="00640418" w:rsidRPr="0084402E" w:rsidRDefault="00640418" w:rsidP="004C0514">
      <w:pPr>
        <w:spacing w:after="0" w:line="240" w:lineRule="auto"/>
        <w:rPr>
          <w:rFonts w:ascii="Arial" w:hAnsi="Arial" w:cs="Arial"/>
          <w:sz w:val="24"/>
          <w:szCs w:val="24"/>
        </w:rPr>
      </w:pPr>
    </w:p>
    <w:p w14:paraId="6BDC9DB2" w14:textId="77777777" w:rsidR="00640418" w:rsidRPr="0084402E" w:rsidRDefault="00640418" w:rsidP="004C0514">
      <w:pPr>
        <w:spacing w:after="0" w:line="240" w:lineRule="auto"/>
        <w:rPr>
          <w:rFonts w:ascii="Arial" w:hAnsi="Arial" w:cs="Arial"/>
          <w:sz w:val="24"/>
          <w:szCs w:val="24"/>
        </w:rPr>
      </w:pPr>
      <w:r w:rsidRPr="0084402E">
        <w:rPr>
          <w:rFonts w:ascii="Arial" w:hAnsi="Arial" w:cs="Arial"/>
          <w:sz w:val="24"/>
          <w:szCs w:val="24"/>
        </w:rPr>
        <w:br w:type="page"/>
      </w:r>
    </w:p>
    <w:p w14:paraId="099A9C78" w14:textId="358DA766" w:rsidR="005B3771" w:rsidRPr="0084402E" w:rsidRDefault="005B3771" w:rsidP="005B3771">
      <w:pPr>
        <w:spacing w:after="0" w:line="360" w:lineRule="auto"/>
        <w:jc w:val="both"/>
        <w:rPr>
          <w:rFonts w:ascii="Arial" w:hAnsi="Arial" w:cs="Arial"/>
          <w:sz w:val="24"/>
          <w:szCs w:val="24"/>
        </w:rPr>
      </w:pPr>
      <w:r w:rsidRPr="0084402E">
        <w:rPr>
          <w:rFonts w:ascii="Arial" w:hAnsi="Arial" w:cs="Arial"/>
          <w:sz w:val="24"/>
          <w:szCs w:val="24"/>
        </w:rPr>
        <w:lastRenderedPageBreak/>
        <w:t>La problemática a atender, el rezago educativo en el estado de Yucatán, y su dimensión están claramente identificada</w:t>
      </w:r>
      <w:r w:rsidR="00796B39" w:rsidRPr="0084402E">
        <w:rPr>
          <w:rFonts w:ascii="Arial" w:hAnsi="Arial" w:cs="Arial"/>
          <w:sz w:val="24"/>
          <w:szCs w:val="24"/>
        </w:rPr>
        <w:t>s</w:t>
      </w:r>
      <w:r w:rsidRPr="0084402E">
        <w:rPr>
          <w:rFonts w:ascii="Arial" w:hAnsi="Arial" w:cs="Arial"/>
          <w:sz w:val="24"/>
          <w:szCs w:val="24"/>
        </w:rPr>
        <w:t xml:space="preserve"> y se incluyen en los instrumentos de planeación para el desarrollo de los ámbitos de gobierno responsables de su atención. En este sentido, </w:t>
      </w:r>
      <w:r w:rsidR="002D40B6">
        <w:rPr>
          <w:rFonts w:ascii="Arial" w:hAnsi="Arial" w:cs="Arial"/>
          <w:sz w:val="24"/>
          <w:szCs w:val="24"/>
        </w:rPr>
        <w:t xml:space="preserve">la </w:t>
      </w:r>
      <w:r w:rsidRPr="0084402E">
        <w:rPr>
          <w:rFonts w:ascii="Arial" w:hAnsi="Arial" w:cs="Arial"/>
          <w:sz w:val="24"/>
          <w:szCs w:val="24"/>
        </w:rPr>
        <w:t>población potencial está cuantificada por nivel de rezago, por género, por región y por su condición de hablantes o no de lengua indígena.</w:t>
      </w:r>
    </w:p>
    <w:p w14:paraId="0B71632A" w14:textId="77777777" w:rsidR="005B3771" w:rsidRPr="0084402E" w:rsidRDefault="005B3771" w:rsidP="005B3771">
      <w:pPr>
        <w:spacing w:after="0" w:line="360" w:lineRule="auto"/>
        <w:jc w:val="both"/>
        <w:rPr>
          <w:rFonts w:ascii="Arial" w:eastAsiaTheme="minorEastAsia" w:hAnsi="Arial" w:cs="Arial"/>
          <w:sz w:val="24"/>
          <w:szCs w:val="24"/>
        </w:rPr>
      </w:pPr>
    </w:p>
    <w:p w14:paraId="17F6053F" w14:textId="5147F790" w:rsidR="005B3771" w:rsidRPr="0084402E" w:rsidRDefault="005B3771" w:rsidP="005B3771">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Se considera que el Programa sí se justifica y está orientado a la resolución del problema</w:t>
      </w:r>
      <w:r w:rsidR="007E2184" w:rsidRPr="0084402E">
        <w:rPr>
          <w:rFonts w:ascii="Arial" w:eastAsiaTheme="minorEastAsia" w:hAnsi="Arial" w:cs="Arial"/>
          <w:sz w:val="24"/>
          <w:szCs w:val="24"/>
        </w:rPr>
        <w:t>,</w:t>
      </w:r>
      <w:r w:rsidRPr="0084402E">
        <w:rPr>
          <w:rFonts w:ascii="Arial" w:eastAsiaTheme="minorEastAsia" w:hAnsi="Arial" w:cs="Arial"/>
          <w:sz w:val="24"/>
          <w:szCs w:val="24"/>
        </w:rPr>
        <w:t xml:space="preserve"> pues es congruente con los objetivos establecidos tanto en la Ley de Coordinación Fiscal como en los planes de desarrollo de </w:t>
      </w:r>
      <w:r w:rsidR="008D0154" w:rsidRPr="0084402E">
        <w:rPr>
          <w:rFonts w:ascii="Arial" w:eastAsiaTheme="minorEastAsia" w:hAnsi="Arial" w:cs="Arial"/>
          <w:sz w:val="24"/>
          <w:szCs w:val="24"/>
        </w:rPr>
        <w:t xml:space="preserve">los </w:t>
      </w:r>
      <w:r w:rsidRPr="0084402E">
        <w:rPr>
          <w:rFonts w:ascii="Arial" w:eastAsiaTheme="minorEastAsia" w:hAnsi="Arial" w:cs="Arial"/>
          <w:sz w:val="24"/>
          <w:szCs w:val="24"/>
        </w:rPr>
        <w:t xml:space="preserve">ámbito federal y estatal, objetivos que están orientados a la atención de la problemática del rezago educativo y son congruentes entres sí. </w:t>
      </w:r>
    </w:p>
    <w:p w14:paraId="54340433" w14:textId="77777777" w:rsidR="005B3771" w:rsidRPr="0084402E" w:rsidRDefault="005B3771" w:rsidP="005B3771">
      <w:pPr>
        <w:spacing w:after="0" w:line="360" w:lineRule="auto"/>
        <w:jc w:val="both"/>
        <w:rPr>
          <w:rFonts w:ascii="Arial" w:eastAsiaTheme="minorEastAsia" w:hAnsi="Arial" w:cs="Arial"/>
          <w:sz w:val="24"/>
          <w:szCs w:val="24"/>
        </w:rPr>
      </w:pPr>
    </w:p>
    <w:p w14:paraId="6A91E8D9" w14:textId="77777777" w:rsidR="005B3771" w:rsidRPr="0084402E" w:rsidRDefault="005B3771" w:rsidP="005B3771">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Los recursos del Fondo se ejercen a través del programa presupuestario estatal Rezago Educativo, bajo responsabilidad del IEAEY que brinda servicios de alfabetización, educación primara y secundaria, así como certificación de conocimientos de estos niveles educativos. Los recursos se aplican a la prestación de estos servicios cuyo elemento más importante son los instructores comunitarios, por lo que la mayor parte del presupuesto se destina a servicios personales y el resto a servicios administrativos y pago de servicios básicos. </w:t>
      </w:r>
    </w:p>
    <w:p w14:paraId="7A9EC23E" w14:textId="77777777" w:rsidR="005B3771" w:rsidRPr="0084402E" w:rsidRDefault="005B3771" w:rsidP="005B3771">
      <w:pPr>
        <w:spacing w:after="0" w:line="360" w:lineRule="auto"/>
        <w:jc w:val="both"/>
        <w:rPr>
          <w:rFonts w:ascii="Arial" w:hAnsi="Arial" w:cs="Arial"/>
          <w:sz w:val="24"/>
          <w:szCs w:val="24"/>
        </w:rPr>
      </w:pPr>
    </w:p>
    <w:p w14:paraId="378EB691" w14:textId="77777777" w:rsidR="005B3771" w:rsidRPr="0084402E" w:rsidRDefault="005B3771" w:rsidP="005B3771">
      <w:pPr>
        <w:spacing w:after="0" w:line="360" w:lineRule="auto"/>
        <w:jc w:val="both"/>
        <w:rPr>
          <w:rFonts w:ascii="Arial" w:hAnsi="Arial" w:cs="Arial"/>
          <w:sz w:val="24"/>
          <w:szCs w:val="24"/>
        </w:rPr>
      </w:pPr>
      <w:r w:rsidRPr="0084402E">
        <w:rPr>
          <w:rFonts w:ascii="Arial" w:hAnsi="Arial" w:cs="Arial"/>
          <w:sz w:val="24"/>
          <w:szCs w:val="24"/>
        </w:rPr>
        <w:t>El programa atiende casi a tres cuartas partes de la población objetivo, no obstante, en comparación con la dimensión de la problemática, el nivel de cobertura es muy moderado, ya que la población objetivo es sólo el 5% de la población potencial, dado que así se establece en el Programa Operativo Anual considerando los recursos disponibles. El incremento de la población atendida, la cobertura,  y la eficacia de la cobertura son limitados con respecto al año anterior con una variación de alrededor del 5%, no obstante que hubo un incremento presupuestario considerable con respecto de ese año.</w:t>
      </w:r>
    </w:p>
    <w:p w14:paraId="78FE9DD5" w14:textId="77777777" w:rsidR="005B3771" w:rsidRPr="0084402E" w:rsidRDefault="005B3771" w:rsidP="005B3771">
      <w:pPr>
        <w:spacing w:after="0" w:line="360" w:lineRule="auto"/>
        <w:jc w:val="both"/>
        <w:rPr>
          <w:rFonts w:ascii="Arial" w:hAnsi="Arial" w:cs="Arial"/>
          <w:sz w:val="24"/>
          <w:szCs w:val="24"/>
        </w:rPr>
      </w:pPr>
    </w:p>
    <w:p w14:paraId="5AF9E751" w14:textId="165BD6BD" w:rsidR="005B3771" w:rsidRPr="0084402E" w:rsidRDefault="005B3771" w:rsidP="005B3771">
      <w:pPr>
        <w:spacing w:after="0" w:line="360" w:lineRule="auto"/>
        <w:jc w:val="both"/>
        <w:rPr>
          <w:rFonts w:ascii="Arial" w:hAnsi="Arial" w:cs="Arial"/>
          <w:sz w:val="24"/>
          <w:szCs w:val="24"/>
        </w:rPr>
      </w:pPr>
      <w:r w:rsidRPr="0084402E">
        <w:rPr>
          <w:rFonts w:ascii="Arial" w:hAnsi="Arial" w:cs="Arial"/>
          <w:sz w:val="24"/>
          <w:szCs w:val="24"/>
        </w:rPr>
        <w:t xml:space="preserve">En cuanto a los resultados de la atención a la problemática a través de los servicios de alfabetización y educación básica para adultos prestados en 2014, como lo indica la </w:t>
      </w:r>
      <w:r w:rsidRPr="0084402E">
        <w:rPr>
          <w:rFonts w:ascii="Arial" w:hAnsi="Arial" w:cs="Arial"/>
          <w:sz w:val="24"/>
          <w:szCs w:val="24"/>
        </w:rPr>
        <w:lastRenderedPageBreak/>
        <w:t xml:space="preserve">normatividad del Fondo, a través del Sistema de Formato Único, SFU, del PASH, se le da seguimiento a los indicadores de Componente, que miden el logro educativo de los educandos atendidos, y  los resultados superan la meta establecida para 2014 en todos los casos. Estos indicadores muestran que la instrumentación del programa y el otorgamiento de los servicios han sido exitosos en términos del logro educativo de quienes reciben los servicios. Sin embargo no hay seguimiento a los indicadores de Fin y de Propósito. Tampoco es posible observar el avance del abatimiento de la problemática con respecto al año anterior, ya que para el ejercicio 2013 no se reportó seguimiento de los indicadores en SFU. </w:t>
      </w:r>
    </w:p>
    <w:p w14:paraId="402C00D7" w14:textId="77777777" w:rsidR="005B3771" w:rsidRPr="0084402E" w:rsidRDefault="005B3771" w:rsidP="005B3771">
      <w:pPr>
        <w:spacing w:after="0" w:line="360" w:lineRule="auto"/>
        <w:jc w:val="both"/>
        <w:rPr>
          <w:rFonts w:ascii="Arial" w:hAnsi="Arial" w:cs="Arial"/>
          <w:sz w:val="24"/>
          <w:szCs w:val="24"/>
        </w:rPr>
      </w:pPr>
    </w:p>
    <w:p w14:paraId="33A58A8D" w14:textId="1CBDF30D" w:rsidR="00404579" w:rsidRPr="0084402E" w:rsidRDefault="005B3771" w:rsidP="005B3771">
      <w:pPr>
        <w:spacing w:after="0" w:line="360" w:lineRule="auto"/>
        <w:jc w:val="both"/>
        <w:rPr>
          <w:rFonts w:ascii="Arial" w:hAnsi="Arial" w:cs="Arial"/>
          <w:sz w:val="24"/>
          <w:szCs w:val="24"/>
        </w:rPr>
      </w:pPr>
      <w:r w:rsidRPr="0084402E">
        <w:rPr>
          <w:rFonts w:ascii="Arial" w:hAnsi="Arial" w:cs="Arial"/>
          <w:sz w:val="24"/>
          <w:szCs w:val="24"/>
        </w:rPr>
        <w:t xml:space="preserve">También se cuenta con una MIR estatal del programa presupuestario “Rezago educativo”. Por medio de esta MIR se podría dar un seguimiento a los aspectos específicos de la operación del programa y la prestación de los servicios educativos a nivel estatal. Sin embargo existen algunos aspectos que mejorar: </w:t>
      </w:r>
      <w:r w:rsidR="00404579" w:rsidRPr="00315EF2">
        <w:rPr>
          <w:rFonts w:ascii="Arial" w:hAnsi="Arial" w:cs="Arial"/>
          <w:sz w:val="24"/>
          <w:szCs w:val="24"/>
        </w:rPr>
        <w:t xml:space="preserve">se recomienda incorporar a la MIR estatal la información de las fichas tecnicas de los indicadores </w:t>
      </w:r>
      <w:r w:rsidR="00315EF2" w:rsidRPr="00315EF2">
        <w:rPr>
          <w:rFonts w:ascii="Arial" w:hAnsi="Arial" w:cs="Arial"/>
          <w:sz w:val="24"/>
          <w:szCs w:val="24"/>
        </w:rPr>
        <w:t>para que esté</w:t>
      </w:r>
      <w:r w:rsidR="00404579" w:rsidRPr="00315EF2">
        <w:rPr>
          <w:rFonts w:ascii="Arial" w:hAnsi="Arial" w:cs="Arial"/>
          <w:sz w:val="24"/>
          <w:szCs w:val="24"/>
        </w:rPr>
        <w:t>n completas y pueda darse un mejor seguimiento al avance de sus metas. No obstante los resultados en términos de cumplimiento de metas de logro educativo son satisfactorios</w:t>
      </w:r>
      <w:r w:rsidR="00404579" w:rsidRPr="0084402E">
        <w:rPr>
          <w:rFonts w:ascii="Arial" w:hAnsi="Arial" w:cs="Arial"/>
          <w:sz w:val="24"/>
          <w:szCs w:val="24"/>
        </w:rPr>
        <w:t xml:space="preserve">, para </w:t>
      </w:r>
      <w:r w:rsidR="00315EF2">
        <w:rPr>
          <w:rFonts w:ascii="Arial" w:hAnsi="Arial" w:cs="Arial"/>
          <w:sz w:val="24"/>
          <w:szCs w:val="24"/>
        </w:rPr>
        <w:t>los indicadores de componente, aunque</w:t>
      </w:r>
      <w:r w:rsidR="00404579" w:rsidRPr="0084402E">
        <w:rPr>
          <w:rFonts w:ascii="Arial" w:hAnsi="Arial" w:cs="Arial"/>
          <w:sz w:val="24"/>
          <w:szCs w:val="24"/>
        </w:rPr>
        <w:t xml:space="preserve"> estos indicadores miden únicamente la población atendida en distintas modalidades o lugares de atención.</w:t>
      </w:r>
    </w:p>
    <w:p w14:paraId="0BBBCA68" w14:textId="77777777" w:rsidR="005B3771" w:rsidRPr="0084402E" w:rsidRDefault="005B3771" w:rsidP="005B3771">
      <w:pPr>
        <w:spacing w:after="0" w:line="360" w:lineRule="auto"/>
        <w:jc w:val="both"/>
        <w:rPr>
          <w:rFonts w:ascii="Arial" w:hAnsi="Arial" w:cs="Arial"/>
          <w:sz w:val="24"/>
          <w:szCs w:val="24"/>
        </w:rPr>
      </w:pPr>
    </w:p>
    <w:p w14:paraId="3E50A783" w14:textId="20F91DE3" w:rsidR="005B3771" w:rsidRPr="0084402E" w:rsidRDefault="005B3771" w:rsidP="005B3771">
      <w:pPr>
        <w:spacing w:after="0" w:line="360" w:lineRule="auto"/>
        <w:jc w:val="both"/>
        <w:rPr>
          <w:rFonts w:ascii="Arial" w:hAnsi="Arial" w:cs="Arial"/>
          <w:sz w:val="24"/>
          <w:szCs w:val="24"/>
        </w:rPr>
      </w:pPr>
      <w:r w:rsidRPr="0084402E">
        <w:rPr>
          <w:rFonts w:ascii="Arial" w:hAnsi="Arial" w:cs="Arial"/>
          <w:sz w:val="24"/>
          <w:szCs w:val="24"/>
        </w:rPr>
        <w:t>Se cuenta con distintos sistemas que vinculan la administración financiera con los resultados: S</w:t>
      </w:r>
      <w:r w:rsidR="00404579">
        <w:rPr>
          <w:rFonts w:ascii="Arial" w:hAnsi="Arial" w:cs="Arial"/>
          <w:sz w:val="24"/>
          <w:szCs w:val="24"/>
        </w:rPr>
        <w:t>I</w:t>
      </w:r>
      <w:r w:rsidRPr="0084402E">
        <w:rPr>
          <w:rFonts w:ascii="Arial" w:hAnsi="Arial" w:cs="Arial"/>
          <w:sz w:val="24"/>
          <w:szCs w:val="24"/>
        </w:rPr>
        <w:t xml:space="preserve">GEY, SIGO y SFU del PASH. </w:t>
      </w:r>
    </w:p>
    <w:p w14:paraId="37371B1E" w14:textId="77777777" w:rsidR="005B3771" w:rsidRPr="0084402E" w:rsidRDefault="005B3771" w:rsidP="005B3771">
      <w:pPr>
        <w:spacing w:after="0" w:line="360" w:lineRule="auto"/>
        <w:jc w:val="both"/>
        <w:rPr>
          <w:rFonts w:ascii="Arial" w:hAnsi="Arial" w:cs="Arial"/>
          <w:sz w:val="24"/>
          <w:szCs w:val="24"/>
        </w:rPr>
      </w:pPr>
    </w:p>
    <w:p w14:paraId="58180F29" w14:textId="305CC810" w:rsidR="005B3771" w:rsidRPr="0084402E" w:rsidRDefault="005B3771" w:rsidP="005B3771">
      <w:pPr>
        <w:spacing w:after="0" w:line="360" w:lineRule="auto"/>
        <w:jc w:val="both"/>
        <w:rPr>
          <w:rFonts w:ascii="Arial" w:hAnsi="Arial" w:cs="Arial"/>
          <w:sz w:val="24"/>
          <w:szCs w:val="24"/>
        </w:rPr>
      </w:pPr>
      <w:r w:rsidRPr="0084402E">
        <w:rPr>
          <w:rFonts w:ascii="Arial" w:eastAsiaTheme="minorEastAsia" w:hAnsi="Arial" w:cs="Arial"/>
          <w:sz w:val="24"/>
          <w:szCs w:val="24"/>
        </w:rPr>
        <w:t>Los recursos del Fondo para 2014 aumentaron en 8.54% con respecto de 2013, un incremento nominal mayor al incremento nominal promedio de los últimos</w:t>
      </w:r>
      <w:r w:rsidR="00160CBD" w:rsidRPr="0084402E">
        <w:rPr>
          <w:rFonts w:ascii="Arial" w:eastAsiaTheme="minorEastAsia" w:hAnsi="Arial" w:cs="Arial"/>
          <w:sz w:val="24"/>
          <w:szCs w:val="24"/>
        </w:rPr>
        <w:t xml:space="preserve"> años</w:t>
      </w:r>
      <w:r w:rsidRPr="0084402E">
        <w:rPr>
          <w:rFonts w:ascii="Arial" w:eastAsiaTheme="minorEastAsia" w:hAnsi="Arial" w:cs="Arial"/>
          <w:sz w:val="24"/>
          <w:szCs w:val="24"/>
        </w:rPr>
        <w:t>. Por otra parte</w:t>
      </w:r>
      <w:r w:rsidR="007E2184" w:rsidRPr="0084402E">
        <w:rPr>
          <w:rFonts w:ascii="Arial" w:eastAsiaTheme="minorEastAsia" w:hAnsi="Arial" w:cs="Arial"/>
          <w:sz w:val="24"/>
          <w:szCs w:val="24"/>
        </w:rPr>
        <w:t>,</w:t>
      </w:r>
      <w:r w:rsidRPr="0084402E">
        <w:rPr>
          <w:rFonts w:ascii="Arial" w:eastAsiaTheme="minorEastAsia" w:hAnsi="Arial" w:cs="Arial"/>
          <w:sz w:val="24"/>
          <w:szCs w:val="24"/>
        </w:rPr>
        <w:t xml:space="preserve"> destaca un incremento sustantivo en los recursos complementarios del Fondo que suman al presupuesto del IEAEY, que según indicó el Instituto provienen del Ramo 11 y son transferidos por el INEA. Derivado de ello el presupuesto del programa tiene una variación en términos nominales con respecto de 2013 de 59.06%. Este incremento contrasta con el </w:t>
      </w:r>
      <w:r w:rsidRPr="0084402E">
        <w:rPr>
          <w:rFonts w:ascii="Arial" w:eastAsiaTheme="minorEastAsia" w:hAnsi="Arial" w:cs="Arial"/>
          <w:sz w:val="24"/>
          <w:szCs w:val="24"/>
        </w:rPr>
        <w:lastRenderedPageBreak/>
        <w:t>leve  incremento de la población atendida y de la eficacia de la cobertura de 2014 respecto de 2013.</w:t>
      </w:r>
    </w:p>
    <w:p w14:paraId="2E0A79C1" w14:textId="77777777" w:rsidR="005B3771" w:rsidRPr="0084402E" w:rsidRDefault="005B3771" w:rsidP="005B3771">
      <w:pPr>
        <w:spacing w:after="0" w:line="360" w:lineRule="auto"/>
        <w:jc w:val="both"/>
        <w:rPr>
          <w:rFonts w:ascii="Arial" w:hAnsi="Arial" w:cs="Arial"/>
          <w:sz w:val="24"/>
          <w:szCs w:val="24"/>
        </w:rPr>
      </w:pPr>
    </w:p>
    <w:p w14:paraId="62ED9D21" w14:textId="7273CF26" w:rsidR="005B3771" w:rsidRPr="0084402E" w:rsidRDefault="005B3771" w:rsidP="005B3771">
      <w:pPr>
        <w:spacing w:after="0" w:line="360" w:lineRule="auto"/>
        <w:jc w:val="both"/>
        <w:rPr>
          <w:rFonts w:ascii="Arial" w:hAnsi="Arial" w:cs="Arial"/>
          <w:sz w:val="24"/>
          <w:szCs w:val="24"/>
        </w:rPr>
      </w:pPr>
      <w:r w:rsidRPr="0084402E">
        <w:rPr>
          <w:rFonts w:ascii="Arial" w:hAnsi="Arial" w:cs="Arial"/>
          <w:sz w:val="24"/>
          <w:szCs w:val="24"/>
        </w:rPr>
        <w:t>En cuanto a la gestión financiera de los recursos,  la transferencia de los recursos del Fondo a la entidad ejecutora el IEAEY se realizó en tiempo y forma conforme al calendario establecido</w:t>
      </w:r>
      <w:r w:rsidR="007E2184" w:rsidRPr="0084402E">
        <w:rPr>
          <w:rFonts w:ascii="Arial" w:hAnsi="Arial" w:cs="Arial"/>
          <w:sz w:val="24"/>
          <w:szCs w:val="24"/>
        </w:rPr>
        <w:t>,</w:t>
      </w:r>
      <w:r w:rsidRPr="0084402E">
        <w:rPr>
          <w:rFonts w:ascii="Arial" w:hAnsi="Arial" w:cs="Arial"/>
          <w:sz w:val="24"/>
          <w:szCs w:val="24"/>
        </w:rPr>
        <w:t xml:space="preserve"> por lo se infiere que no existieron problemas de liquidez que comprometieran la prestación de los servicios. Los recursos se ejercieron en su totalidad dentro del término del ejercicio. Así mismo, se cumplió con la obligación de informar del avance financiero se reporta en el SFU del PASH.</w:t>
      </w:r>
    </w:p>
    <w:p w14:paraId="50B1E7C9" w14:textId="2F65B269" w:rsidR="00197E7F" w:rsidRDefault="00197E7F">
      <w:pPr>
        <w:spacing w:after="0" w:line="240" w:lineRule="auto"/>
        <w:rPr>
          <w:rFonts w:ascii="Arial" w:hAnsi="Arial" w:cs="Arial"/>
          <w:sz w:val="24"/>
          <w:szCs w:val="24"/>
        </w:rPr>
      </w:pPr>
      <w:r>
        <w:rPr>
          <w:rFonts w:ascii="Arial" w:hAnsi="Arial" w:cs="Arial"/>
          <w:sz w:val="24"/>
          <w:szCs w:val="24"/>
        </w:rPr>
        <w:br w:type="page"/>
      </w:r>
    </w:p>
    <w:p w14:paraId="16F284AD" w14:textId="77777777" w:rsidR="00640418" w:rsidRPr="0084402E" w:rsidRDefault="00640418" w:rsidP="004C0514">
      <w:pPr>
        <w:spacing w:after="0" w:line="360" w:lineRule="auto"/>
        <w:jc w:val="center"/>
        <w:rPr>
          <w:rFonts w:ascii="Arial" w:hAnsi="Arial" w:cs="Arial"/>
          <w:sz w:val="24"/>
          <w:szCs w:val="24"/>
        </w:rPr>
      </w:pPr>
    </w:p>
    <w:p w14:paraId="70D89FB6" w14:textId="77777777" w:rsidR="00640418" w:rsidRPr="0084402E" w:rsidRDefault="00640418" w:rsidP="004C0514">
      <w:pPr>
        <w:spacing w:after="0" w:line="360" w:lineRule="auto"/>
        <w:jc w:val="center"/>
        <w:rPr>
          <w:rFonts w:ascii="Arial" w:hAnsi="Arial" w:cs="Arial"/>
          <w:sz w:val="24"/>
          <w:szCs w:val="24"/>
        </w:rPr>
      </w:pPr>
    </w:p>
    <w:p w14:paraId="4173F22B" w14:textId="77777777" w:rsidR="00640418" w:rsidRPr="0084402E" w:rsidRDefault="00640418" w:rsidP="004C0514">
      <w:pPr>
        <w:spacing w:after="0" w:line="360" w:lineRule="auto"/>
        <w:jc w:val="center"/>
        <w:rPr>
          <w:rFonts w:ascii="Arial" w:hAnsi="Arial" w:cs="Arial"/>
          <w:sz w:val="24"/>
          <w:szCs w:val="24"/>
        </w:rPr>
      </w:pPr>
    </w:p>
    <w:p w14:paraId="181E2893" w14:textId="77777777" w:rsidR="00640418" w:rsidRPr="0084402E" w:rsidRDefault="00640418" w:rsidP="004C0514">
      <w:pPr>
        <w:spacing w:after="0" w:line="360" w:lineRule="auto"/>
        <w:jc w:val="center"/>
        <w:rPr>
          <w:rFonts w:ascii="Arial" w:hAnsi="Arial" w:cs="Arial"/>
          <w:sz w:val="24"/>
          <w:szCs w:val="24"/>
        </w:rPr>
      </w:pPr>
    </w:p>
    <w:p w14:paraId="580757C8" w14:textId="77777777" w:rsidR="00640418" w:rsidRDefault="00640418" w:rsidP="004C0514">
      <w:pPr>
        <w:spacing w:after="0" w:line="360" w:lineRule="auto"/>
        <w:jc w:val="center"/>
        <w:rPr>
          <w:rFonts w:ascii="Arial" w:hAnsi="Arial" w:cs="Arial"/>
          <w:sz w:val="24"/>
          <w:szCs w:val="24"/>
        </w:rPr>
      </w:pPr>
    </w:p>
    <w:p w14:paraId="4843C2C4" w14:textId="77777777" w:rsidR="00197E7F" w:rsidRDefault="00197E7F" w:rsidP="004C0514">
      <w:pPr>
        <w:spacing w:after="0" w:line="360" w:lineRule="auto"/>
        <w:jc w:val="center"/>
        <w:rPr>
          <w:rFonts w:ascii="Arial" w:hAnsi="Arial" w:cs="Arial"/>
          <w:sz w:val="24"/>
          <w:szCs w:val="24"/>
        </w:rPr>
      </w:pPr>
    </w:p>
    <w:p w14:paraId="6A93BFC7" w14:textId="77777777" w:rsidR="00197E7F" w:rsidRPr="0084402E" w:rsidRDefault="00197E7F" w:rsidP="004C0514">
      <w:pPr>
        <w:spacing w:after="0" w:line="360" w:lineRule="auto"/>
        <w:jc w:val="center"/>
        <w:rPr>
          <w:rFonts w:ascii="Arial" w:hAnsi="Arial" w:cs="Arial"/>
          <w:sz w:val="24"/>
          <w:szCs w:val="24"/>
        </w:rPr>
      </w:pPr>
    </w:p>
    <w:p w14:paraId="2CBF7F54" w14:textId="77777777" w:rsidR="00640418" w:rsidRPr="0084402E" w:rsidRDefault="00640418" w:rsidP="004C0514">
      <w:pPr>
        <w:spacing w:after="0" w:line="360" w:lineRule="auto"/>
        <w:jc w:val="center"/>
        <w:rPr>
          <w:rFonts w:ascii="Arial" w:hAnsi="Arial" w:cs="Arial"/>
          <w:sz w:val="24"/>
          <w:szCs w:val="24"/>
        </w:rPr>
      </w:pPr>
    </w:p>
    <w:p w14:paraId="49849407" w14:textId="77777777" w:rsidR="00640418" w:rsidRDefault="00640418" w:rsidP="004C0514">
      <w:pPr>
        <w:spacing w:after="0" w:line="360" w:lineRule="auto"/>
        <w:jc w:val="center"/>
        <w:rPr>
          <w:rFonts w:ascii="Arial" w:hAnsi="Arial" w:cs="Arial"/>
          <w:sz w:val="24"/>
          <w:szCs w:val="24"/>
        </w:rPr>
      </w:pPr>
    </w:p>
    <w:p w14:paraId="292DFF5C" w14:textId="77777777" w:rsidR="00315EF2" w:rsidRDefault="00315EF2" w:rsidP="004C0514">
      <w:pPr>
        <w:spacing w:after="0" w:line="360" w:lineRule="auto"/>
        <w:jc w:val="center"/>
        <w:rPr>
          <w:rFonts w:ascii="Arial" w:hAnsi="Arial" w:cs="Arial"/>
          <w:sz w:val="24"/>
          <w:szCs w:val="24"/>
        </w:rPr>
      </w:pPr>
    </w:p>
    <w:p w14:paraId="64AA3600" w14:textId="77777777" w:rsidR="00315EF2" w:rsidRDefault="00315EF2" w:rsidP="004C0514">
      <w:pPr>
        <w:spacing w:after="0" w:line="360" w:lineRule="auto"/>
        <w:jc w:val="center"/>
        <w:rPr>
          <w:rFonts w:ascii="Arial" w:hAnsi="Arial" w:cs="Arial"/>
          <w:sz w:val="24"/>
          <w:szCs w:val="24"/>
        </w:rPr>
      </w:pPr>
    </w:p>
    <w:p w14:paraId="5F74E363" w14:textId="77777777" w:rsidR="00197E7F" w:rsidRDefault="00197E7F" w:rsidP="004C0514">
      <w:pPr>
        <w:spacing w:after="0" w:line="360" w:lineRule="auto"/>
        <w:jc w:val="center"/>
        <w:rPr>
          <w:rFonts w:ascii="Arial" w:hAnsi="Arial" w:cs="Arial"/>
          <w:sz w:val="24"/>
          <w:szCs w:val="24"/>
        </w:rPr>
      </w:pPr>
    </w:p>
    <w:p w14:paraId="2244405B" w14:textId="77777777" w:rsidR="00197E7F" w:rsidRPr="0084402E" w:rsidRDefault="00197E7F" w:rsidP="004C0514">
      <w:pPr>
        <w:spacing w:after="0" w:line="360" w:lineRule="auto"/>
        <w:jc w:val="center"/>
        <w:rPr>
          <w:rFonts w:ascii="Arial" w:hAnsi="Arial" w:cs="Arial"/>
          <w:sz w:val="24"/>
          <w:szCs w:val="24"/>
        </w:rPr>
      </w:pPr>
    </w:p>
    <w:p w14:paraId="7E2FBA90" w14:textId="77777777" w:rsidR="006D7BB6" w:rsidRPr="0084402E" w:rsidRDefault="006D7BB6" w:rsidP="004C0514">
      <w:pPr>
        <w:spacing w:after="0" w:line="360" w:lineRule="auto"/>
        <w:jc w:val="center"/>
        <w:rPr>
          <w:rFonts w:ascii="Arial" w:hAnsi="Arial" w:cs="Arial"/>
          <w:sz w:val="24"/>
          <w:szCs w:val="24"/>
        </w:rPr>
      </w:pPr>
    </w:p>
    <w:p w14:paraId="08152758" w14:textId="1A91467E" w:rsidR="00640418" w:rsidRPr="0084402E" w:rsidRDefault="006D7BB6" w:rsidP="004C0514">
      <w:pPr>
        <w:spacing w:after="0" w:line="360" w:lineRule="auto"/>
        <w:jc w:val="center"/>
        <w:rPr>
          <w:rFonts w:ascii="Arial" w:eastAsiaTheme="minorEastAsia" w:hAnsi="Arial" w:cs="Arial"/>
          <w:b/>
          <w:sz w:val="24"/>
          <w:szCs w:val="24"/>
        </w:rPr>
      </w:pPr>
      <w:r w:rsidRPr="0084402E">
        <w:rPr>
          <w:rFonts w:ascii="Arial" w:hAnsi="Arial" w:cs="Arial"/>
          <w:b/>
          <w:sz w:val="24"/>
          <w:szCs w:val="24"/>
        </w:rPr>
        <w:t>I</w:t>
      </w:r>
      <w:r w:rsidR="00934175">
        <w:rPr>
          <w:rFonts w:ascii="Arial" w:hAnsi="Arial" w:cs="Arial"/>
          <w:b/>
          <w:sz w:val="24"/>
          <w:szCs w:val="24"/>
        </w:rPr>
        <w:t>X</w:t>
      </w:r>
      <w:r w:rsidRPr="0084402E">
        <w:rPr>
          <w:rFonts w:ascii="Arial" w:hAnsi="Arial" w:cs="Arial"/>
          <w:b/>
          <w:sz w:val="24"/>
          <w:szCs w:val="24"/>
        </w:rPr>
        <w:t xml:space="preserve">. </w:t>
      </w:r>
      <w:r w:rsidRPr="0084402E">
        <w:rPr>
          <w:rFonts w:ascii="Arial" w:eastAsiaTheme="minorEastAsia" w:hAnsi="Arial" w:cs="Arial"/>
          <w:b/>
          <w:sz w:val="24"/>
          <w:szCs w:val="24"/>
        </w:rPr>
        <w:t>CONCLUSIONES</w:t>
      </w:r>
    </w:p>
    <w:p w14:paraId="59678B0D" w14:textId="413128AF" w:rsidR="00640418" w:rsidRPr="0084402E" w:rsidRDefault="00640418" w:rsidP="00197E7F">
      <w:pPr>
        <w:spacing w:after="0" w:line="240" w:lineRule="auto"/>
        <w:rPr>
          <w:rFonts w:ascii="Arial" w:hAnsi="Arial" w:cs="Arial"/>
          <w:sz w:val="24"/>
          <w:szCs w:val="24"/>
        </w:rPr>
      </w:pPr>
      <w:r w:rsidRPr="0084402E">
        <w:rPr>
          <w:rFonts w:ascii="Arial" w:hAnsi="Arial" w:cs="Arial"/>
          <w:sz w:val="24"/>
          <w:szCs w:val="24"/>
        </w:rPr>
        <w:br w:type="page"/>
      </w:r>
    </w:p>
    <w:p w14:paraId="744E6230" w14:textId="5FDECDA1" w:rsidR="00AD2DC8" w:rsidRPr="0084402E" w:rsidRDefault="00AD2DC8" w:rsidP="00AD2DC8">
      <w:pPr>
        <w:spacing w:after="0" w:line="360" w:lineRule="auto"/>
        <w:jc w:val="both"/>
        <w:rPr>
          <w:rFonts w:ascii="Arial" w:hAnsi="Arial" w:cs="Arial"/>
          <w:sz w:val="24"/>
          <w:szCs w:val="24"/>
        </w:rPr>
      </w:pPr>
      <w:r w:rsidRPr="0084402E">
        <w:rPr>
          <w:rFonts w:ascii="Arial" w:eastAsiaTheme="minorEastAsia" w:hAnsi="Arial" w:cs="Arial"/>
          <w:sz w:val="24"/>
          <w:szCs w:val="24"/>
        </w:rPr>
        <w:lastRenderedPageBreak/>
        <w:t>Desde hace varias décadas existe una política nacional para la superación del rezago educativo, a través de servicios de alfabetización y de educación básica para adultos que hasta su descentralización y creación del FAETA, eran operados por la Federación. Así</w:t>
      </w:r>
      <w:r w:rsidR="007E2184" w:rsidRPr="0084402E">
        <w:rPr>
          <w:rFonts w:ascii="Arial" w:eastAsiaTheme="minorEastAsia" w:hAnsi="Arial" w:cs="Arial"/>
          <w:sz w:val="24"/>
          <w:szCs w:val="24"/>
        </w:rPr>
        <w:t>,</w:t>
      </w:r>
      <w:r w:rsidRPr="0084402E">
        <w:rPr>
          <w:rFonts w:ascii="Arial" w:eastAsiaTheme="minorEastAsia" w:hAnsi="Arial" w:cs="Arial"/>
          <w:sz w:val="24"/>
          <w:szCs w:val="24"/>
        </w:rPr>
        <w:t xml:space="preserve"> desde finales de los 90, las entidades federativas asumen la responsabilidad de prestar los servicios de alfabetización y educación básica para jóvenes y adultos en rezago educativo, con recursos trasferidos por la Federación a través del FAETA. </w:t>
      </w:r>
    </w:p>
    <w:p w14:paraId="7E19BDED" w14:textId="77777777" w:rsidR="00AD2DC8" w:rsidRPr="0084402E" w:rsidRDefault="00AD2DC8" w:rsidP="00AD2DC8">
      <w:pPr>
        <w:spacing w:after="0" w:line="360" w:lineRule="auto"/>
        <w:jc w:val="both"/>
        <w:rPr>
          <w:rFonts w:ascii="Arial" w:hAnsi="Arial" w:cs="Arial"/>
          <w:sz w:val="24"/>
          <w:szCs w:val="24"/>
        </w:rPr>
      </w:pPr>
    </w:p>
    <w:p w14:paraId="3C981BEB" w14:textId="15659598" w:rsidR="00AD2DC8" w:rsidRPr="0084402E" w:rsidRDefault="00AD2DC8" w:rsidP="00AD2DC8">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El reto que enfrenta actualmente el estado de Yucatán y la responsabilidad </w:t>
      </w:r>
      <w:r w:rsidR="009B6648" w:rsidRPr="0084402E">
        <w:rPr>
          <w:rFonts w:ascii="Arial" w:eastAsiaTheme="minorEastAsia" w:hAnsi="Arial" w:cs="Arial"/>
          <w:sz w:val="24"/>
          <w:szCs w:val="24"/>
        </w:rPr>
        <w:t xml:space="preserve">que </w:t>
      </w:r>
      <w:r w:rsidRPr="0084402E">
        <w:rPr>
          <w:rFonts w:ascii="Arial" w:eastAsiaTheme="minorEastAsia" w:hAnsi="Arial" w:cs="Arial"/>
          <w:sz w:val="24"/>
          <w:szCs w:val="24"/>
        </w:rPr>
        <w:t>implica no son menores. En estado de Yucatán el índice de analfabetismo es de 9.2% superando al promedio nacional de 6.9%. Ello equivale a un total de 623 mil 726 personas en condición de rezago educativo, lo que representa el 44.3 % de la población de 15 años o más.</w:t>
      </w:r>
    </w:p>
    <w:p w14:paraId="3273D2B9" w14:textId="77777777" w:rsidR="00AD2DC8" w:rsidRPr="0084402E" w:rsidRDefault="00AD2DC8" w:rsidP="00AD2DC8">
      <w:pPr>
        <w:spacing w:after="0" w:line="360" w:lineRule="auto"/>
        <w:jc w:val="both"/>
        <w:rPr>
          <w:rFonts w:ascii="Arial" w:eastAsiaTheme="minorEastAsia" w:hAnsi="Arial" w:cs="Arial"/>
          <w:sz w:val="24"/>
          <w:szCs w:val="24"/>
        </w:rPr>
      </w:pPr>
    </w:p>
    <w:p w14:paraId="2067E092" w14:textId="6FF64E5C" w:rsidR="00AD2DC8" w:rsidRPr="0084402E" w:rsidRDefault="00AD2DC8" w:rsidP="00AD2DC8">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 xml:space="preserve">Ante este reto, los recursos que se reciben de la Federación han sido históricamente limitados, no obstante, se logra atender a un número importante de personas que logran superar su condición de rezago educativo, como lo muestran los indicadores de Componente del SFU para año 2014. </w:t>
      </w:r>
      <w:r w:rsidR="007E2184" w:rsidRPr="0084402E">
        <w:rPr>
          <w:rFonts w:ascii="Arial" w:eastAsiaTheme="minorEastAsia" w:hAnsi="Arial" w:cs="Arial"/>
          <w:sz w:val="24"/>
          <w:szCs w:val="24"/>
        </w:rPr>
        <w:t xml:space="preserve">Con todo, </w:t>
      </w:r>
      <w:r w:rsidRPr="0084402E">
        <w:rPr>
          <w:rFonts w:ascii="Arial" w:eastAsiaTheme="minorEastAsia" w:hAnsi="Arial" w:cs="Arial"/>
          <w:sz w:val="24"/>
          <w:szCs w:val="24"/>
        </w:rPr>
        <w:t>la dimensión de la problemática de rezago educativo sigue siendo considerable</w:t>
      </w:r>
      <w:r w:rsidR="007E2184" w:rsidRPr="0084402E">
        <w:rPr>
          <w:rFonts w:ascii="Arial" w:eastAsiaTheme="minorEastAsia" w:hAnsi="Arial" w:cs="Arial"/>
          <w:sz w:val="24"/>
          <w:szCs w:val="24"/>
        </w:rPr>
        <w:t>, más aún, si se considera el número de personas que cada año</w:t>
      </w:r>
      <w:r w:rsidRPr="0084402E">
        <w:rPr>
          <w:rFonts w:ascii="Arial" w:eastAsiaTheme="minorEastAsia" w:hAnsi="Arial" w:cs="Arial"/>
          <w:sz w:val="24"/>
          <w:szCs w:val="24"/>
        </w:rPr>
        <w:t xml:space="preserve"> se incorporan a esta condición. De ahí la importancia de que se utilicen los recursos de la manera más eficiente posible. </w:t>
      </w:r>
    </w:p>
    <w:p w14:paraId="4C1F00F4" w14:textId="77777777" w:rsidR="00AD2DC8" w:rsidRPr="0084402E" w:rsidRDefault="00AD2DC8" w:rsidP="00AD2DC8">
      <w:pPr>
        <w:spacing w:after="0" w:line="360" w:lineRule="auto"/>
        <w:jc w:val="both"/>
        <w:rPr>
          <w:rFonts w:ascii="Arial" w:eastAsiaTheme="minorEastAsia" w:hAnsi="Arial" w:cs="Arial"/>
          <w:sz w:val="24"/>
          <w:szCs w:val="24"/>
        </w:rPr>
      </w:pPr>
    </w:p>
    <w:p w14:paraId="5C746828" w14:textId="0B80351F" w:rsidR="00AD2DC8" w:rsidRPr="0084402E" w:rsidRDefault="00AD2DC8" w:rsidP="00AD2DC8">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El programa presupuestario estatal Rezago Educativo a través del cual se ejercen los recursos del FAETA para prestar servicios de alfabetización y educación básica para personas en rezago educativo en el estado de Yucatán, es operado por el Instituto de Educación para Adultos del Estado de Yucatán, IEAEY. Este programa implementa la política educativa diseñada a nivel federal y otorga los servicios bajo la</w:t>
      </w:r>
      <w:r w:rsidR="007E2184" w:rsidRPr="0084402E">
        <w:rPr>
          <w:rFonts w:ascii="Arial" w:eastAsiaTheme="minorEastAsia" w:hAnsi="Arial" w:cs="Arial"/>
          <w:sz w:val="24"/>
          <w:szCs w:val="24"/>
        </w:rPr>
        <w:t>s normas de la Federación</w:t>
      </w:r>
      <w:r w:rsidRPr="0084402E">
        <w:rPr>
          <w:rFonts w:ascii="Arial" w:eastAsiaTheme="minorEastAsia" w:hAnsi="Arial" w:cs="Arial"/>
          <w:sz w:val="24"/>
          <w:szCs w:val="24"/>
        </w:rPr>
        <w:t>. En este sentido</w:t>
      </w:r>
      <w:r w:rsidR="007E2184" w:rsidRPr="0084402E">
        <w:rPr>
          <w:rFonts w:ascii="Arial" w:eastAsiaTheme="minorEastAsia" w:hAnsi="Arial" w:cs="Arial"/>
          <w:sz w:val="24"/>
          <w:szCs w:val="24"/>
        </w:rPr>
        <w:t>,</w:t>
      </w:r>
      <w:r w:rsidRPr="0084402E">
        <w:rPr>
          <w:rFonts w:ascii="Arial" w:eastAsiaTheme="minorEastAsia" w:hAnsi="Arial" w:cs="Arial"/>
          <w:sz w:val="24"/>
          <w:szCs w:val="24"/>
        </w:rPr>
        <w:t xml:space="preserve"> en términos generales el IEAEY cumple con la implementación del programa conforme la normatividad lo indica, y ha tenido resultados importantes. </w:t>
      </w:r>
    </w:p>
    <w:p w14:paraId="78CCA65D" w14:textId="77777777" w:rsidR="00AD2DC8" w:rsidRPr="0084402E" w:rsidRDefault="00AD2DC8" w:rsidP="00AD2DC8">
      <w:pPr>
        <w:spacing w:after="0" w:line="360" w:lineRule="auto"/>
        <w:jc w:val="both"/>
        <w:rPr>
          <w:rFonts w:ascii="Arial" w:eastAsiaTheme="minorEastAsia" w:hAnsi="Arial" w:cs="Arial"/>
          <w:sz w:val="24"/>
          <w:szCs w:val="24"/>
        </w:rPr>
      </w:pPr>
    </w:p>
    <w:p w14:paraId="5E1723D6" w14:textId="4CD8564C" w:rsidR="00AD2DC8" w:rsidRPr="0084402E" w:rsidRDefault="00AD2DC8" w:rsidP="00AD2DC8">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lastRenderedPageBreak/>
        <w:t xml:space="preserve">Para poder encontrar los espacios de oportunidad para mejorar la eficiencia del programa, y generar mayores resultados como </w:t>
      </w:r>
      <w:r w:rsidR="007E2184" w:rsidRPr="0084402E">
        <w:rPr>
          <w:rFonts w:ascii="Arial" w:eastAsiaTheme="minorEastAsia" w:hAnsi="Arial" w:cs="Arial"/>
          <w:sz w:val="24"/>
          <w:szCs w:val="24"/>
        </w:rPr>
        <w:t>son la ampliación</w:t>
      </w:r>
      <w:r w:rsidRPr="0084402E">
        <w:rPr>
          <w:rFonts w:ascii="Arial" w:eastAsiaTheme="minorEastAsia" w:hAnsi="Arial" w:cs="Arial"/>
          <w:sz w:val="24"/>
          <w:szCs w:val="24"/>
        </w:rPr>
        <w:t xml:space="preserve"> de la cobertura y un mayor logro educativo de los educandos atendidos, es necesario contar con información de calidad, oportuna y pertinente sobre los</w:t>
      </w:r>
      <w:r w:rsidR="007E2184" w:rsidRPr="0084402E">
        <w:rPr>
          <w:rFonts w:ascii="Arial" w:eastAsiaTheme="minorEastAsia" w:hAnsi="Arial" w:cs="Arial"/>
          <w:sz w:val="24"/>
          <w:szCs w:val="24"/>
        </w:rPr>
        <w:t xml:space="preserve"> diversos aspectos del programa,</w:t>
      </w:r>
      <w:r w:rsidRPr="0084402E">
        <w:rPr>
          <w:rFonts w:ascii="Arial" w:eastAsiaTheme="minorEastAsia" w:hAnsi="Arial" w:cs="Arial"/>
          <w:sz w:val="24"/>
          <w:szCs w:val="24"/>
        </w:rPr>
        <w:t xml:space="preserve"> tanto de los resultados co</w:t>
      </w:r>
      <w:r w:rsidR="007E2184" w:rsidRPr="0084402E">
        <w:rPr>
          <w:rFonts w:ascii="Arial" w:eastAsiaTheme="minorEastAsia" w:hAnsi="Arial" w:cs="Arial"/>
          <w:sz w:val="24"/>
          <w:szCs w:val="24"/>
        </w:rPr>
        <w:t xml:space="preserve">mo de la gestión. En </w:t>
      </w:r>
      <w:r w:rsidRPr="0084402E">
        <w:rPr>
          <w:rFonts w:ascii="Arial" w:eastAsiaTheme="minorEastAsia" w:hAnsi="Arial" w:cs="Arial"/>
          <w:sz w:val="24"/>
          <w:szCs w:val="24"/>
        </w:rPr>
        <w:t xml:space="preserve">este programa se identifica que los instrumentos de seguimiento y evaluación, los indicadores de desempeño que se utilizan en los instrumentos de planeación y programación como el POA, y la MIR, podrían mejorarse en términos de diseño, consistencia y rigor metodológico, para poder hacer un seguimiento del programa que produzca mejor información para evaluar su desempeño y definir acciones para su mejora. Esta evaluación muestra que la información que producen los indicadores es incipiente (no se puede comparar con el ejercicio anterior), es poca, y en algunos casos no es clara, por lo que no fue posible identificar áreas de mejora del programa en sí. </w:t>
      </w:r>
    </w:p>
    <w:p w14:paraId="38C6B1DE" w14:textId="77777777" w:rsidR="00AD2DC8" w:rsidRPr="0084402E" w:rsidRDefault="00AD2DC8" w:rsidP="00AD2DC8">
      <w:pPr>
        <w:spacing w:after="0" w:line="360" w:lineRule="auto"/>
        <w:jc w:val="both"/>
        <w:rPr>
          <w:rFonts w:ascii="Arial" w:eastAsiaTheme="minorEastAsia" w:hAnsi="Arial" w:cs="Arial"/>
          <w:sz w:val="24"/>
          <w:szCs w:val="24"/>
        </w:rPr>
      </w:pPr>
    </w:p>
    <w:p w14:paraId="39A2656B" w14:textId="47A52C2A" w:rsidR="00AD2DC8" w:rsidRPr="0084402E" w:rsidRDefault="00263503" w:rsidP="00AD2DC8">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Sí se reconoció que</w:t>
      </w:r>
      <w:r w:rsidR="00AD2DC8" w:rsidRPr="0084402E">
        <w:rPr>
          <w:rFonts w:ascii="Arial" w:eastAsiaTheme="minorEastAsia" w:hAnsi="Arial" w:cs="Arial"/>
          <w:sz w:val="24"/>
          <w:szCs w:val="24"/>
        </w:rPr>
        <w:t xml:space="preserve"> los aspectos </w:t>
      </w:r>
      <w:r w:rsidRPr="0084402E">
        <w:rPr>
          <w:rFonts w:ascii="Arial" w:eastAsiaTheme="minorEastAsia" w:hAnsi="Arial" w:cs="Arial"/>
          <w:sz w:val="24"/>
          <w:szCs w:val="24"/>
        </w:rPr>
        <w:t xml:space="preserve">de avance de la cobertura </w:t>
      </w:r>
      <w:r w:rsidR="00AD2DC8" w:rsidRPr="0084402E">
        <w:rPr>
          <w:rFonts w:ascii="Arial" w:eastAsiaTheme="minorEastAsia" w:hAnsi="Arial" w:cs="Arial"/>
          <w:sz w:val="24"/>
          <w:szCs w:val="24"/>
        </w:rPr>
        <w:t xml:space="preserve">se consideraron como relativamente limitados, </w:t>
      </w:r>
      <w:r w:rsidRPr="0084402E">
        <w:rPr>
          <w:rFonts w:ascii="Arial" w:eastAsiaTheme="minorEastAsia" w:hAnsi="Arial" w:cs="Arial"/>
          <w:sz w:val="24"/>
          <w:szCs w:val="24"/>
        </w:rPr>
        <w:t xml:space="preserve">lo mismo los </w:t>
      </w:r>
      <w:r w:rsidR="00AD2DC8" w:rsidRPr="0084402E">
        <w:rPr>
          <w:rFonts w:ascii="Arial" w:eastAsiaTheme="minorEastAsia" w:hAnsi="Arial" w:cs="Arial"/>
          <w:sz w:val="24"/>
          <w:szCs w:val="24"/>
        </w:rPr>
        <w:t xml:space="preserve">resultados tangibles en términos de logro educativo, pero no se identificó qué se puede hacer para mejorar esos resultados, por no tener indicadores para ello. Llama la atención, por ejemplo que ante un fortalecimiento presupuestario del programa para 2014, el aumento en la cobertura haya sido leve, pero no se puede establecer cuál es la razón. Por lo que recomendación fundamental es comenzar por hacer un rediseño de cómo se van a evaluar los distintos aspectos del programa, con qué indicadores, y como se va a dar seguimiento a esos indicadores, cuáles son sus variables, cuáles son los valores de las mismas, tomando en cuenta que los indicadores definidos para el FAETA a nivel nacional deben estar considerados para su seguimiento oportuno, lo que no limita que además de utilizarlos, se diseñen indicadores adicionales. </w:t>
      </w:r>
    </w:p>
    <w:p w14:paraId="2619968F" w14:textId="77777777" w:rsidR="00AD2DC8" w:rsidRPr="0084402E" w:rsidRDefault="00AD2DC8" w:rsidP="00AD2DC8">
      <w:pPr>
        <w:spacing w:after="0" w:line="360" w:lineRule="auto"/>
        <w:jc w:val="both"/>
        <w:rPr>
          <w:rFonts w:ascii="Arial" w:eastAsiaTheme="minorEastAsia" w:hAnsi="Arial" w:cs="Arial"/>
          <w:sz w:val="24"/>
          <w:szCs w:val="24"/>
        </w:rPr>
      </w:pPr>
    </w:p>
    <w:p w14:paraId="3EB1B9E0" w14:textId="65A1EC68" w:rsidR="00197E7F" w:rsidRDefault="00AD2DC8" w:rsidP="00AD2DC8">
      <w:pPr>
        <w:spacing w:after="0" w:line="360" w:lineRule="auto"/>
        <w:jc w:val="both"/>
        <w:rPr>
          <w:rFonts w:ascii="Arial" w:eastAsiaTheme="minorEastAsia" w:hAnsi="Arial" w:cs="Arial"/>
          <w:sz w:val="24"/>
          <w:szCs w:val="24"/>
        </w:rPr>
      </w:pPr>
      <w:r w:rsidRPr="0084402E">
        <w:rPr>
          <w:rFonts w:ascii="Arial" w:eastAsiaTheme="minorEastAsia" w:hAnsi="Arial" w:cs="Arial"/>
          <w:sz w:val="24"/>
          <w:szCs w:val="24"/>
        </w:rPr>
        <w:t>Se considera que se cuenta con todos los elementos para mejorar los instrumentos de seguimiento y evaluación del programa. Se cuenta con las bases de datos del INEGI, con la del propio INEA, y además</w:t>
      </w:r>
      <w:r w:rsidR="00263503" w:rsidRPr="0084402E">
        <w:rPr>
          <w:rFonts w:ascii="Arial" w:eastAsiaTheme="minorEastAsia" w:hAnsi="Arial" w:cs="Arial"/>
          <w:sz w:val="24"/>
          <w:szCs w:val="24"/>
        </w:rPr>
        <w:t>,</w:t>
      </w:r>
      <w:r w:rsidRPr="0084402E">
        <w:rPr>
          <w:rFonts w:ascii="Arial" w:eastAsiaTheme="minorEastAsia" w:hAnsi="Arial" w:cs="Arial"/>
          <w:sz w:val="24"/>
          <w:szCs w:val="24"/>
        </w:rPr>
        <w:t xml:space="preserve"> con una de las principales fortalezas del programa</w:t>
      </w:r>
      <w:r w:rsidR="009C5A18" w:rsidRPr="0084402E">
        <w:rPr>
          <w:rFonts w:ascii="Arial" w:eastAsiaTheme="minorEastAsia" w:hAnsi="Arial" w:cs="Arial"/>
          <w:sz w:val="24"/>
          <w:szCs w:val="24"/>
        </w:rPr>
        <w:t>,</w:t>
      </w:r>
      <w:r w:rsidRPr="0084402E">
        <w:rPr>
          <w:rFonts w:ascii="Arial" w:eastAsiaTheme="minorEastAsia" w:hAnsi="Arial" w:cs="Arial"/>
          <w:sz w:val="24"/>
          <w:szCs w:val="24"/>
        </w:rPr>
        <w:t xml:space="preserve"> que </w:t>
      </w:r>
      <w:r w:rsidR="00263503" w:rsidRPr="0084402E">
        <w:rPr>
          <w:rFonts w:ascii="Arial" w:eastAsiaTheme="minorEastAsia" w:hAnsi="Arial" w:cs="Arial"/>
          <w:sz w:val="24"/>
          <w:szCs w:val="24"/>
        </w:rPr>
        <w:t>es el sistema SASA. También sería</w:t>
      </w:r>
      <w:r w:rsidRPr="0084402E">
        <w:rPr>
          <w:rFonts w:ascii="Arial" w:eastAsiaTheme="minorEastAsia" w:hAnsi="Arial" w:cs="Arial"/>
          <w:sz w:val="24"/>
          <w:szCs w:val="24"/>
        </w:rPr>
        <w:t xml:space="preserve"> muy</w:t>
      </w:r>
      <w:r w:rsidR="00263503" w:rsidRPr="0084402E">
        <w:rPr>
          <w:rFonts w:ascii="Arial" w:eastAsiaTheme="minorEastAsia" w:hAnsi="Arial" w:cs="Arial"/>
          <w:sz w:val="24"/>
          <w:szCs w:val="24"/>
        </w:rPr>
        <w:t xml:space="preserve"> relevante la información</w:t>
      </w:r>
      <w:r w:rsidRPr="0084402E">
        <w:rPr>
          <w:rFonts w:ascii="Arial" w:eastAsiaTheme="minorEastAsia" w:hAnsi="Arial" w:cs="Arial"/>
          <w:sz w:val="24"/>
          <w:szCs w:val="24"/>
        </w:rPr>
        <w:t xml:space="preserve"> de los registros administrativos </w:t>
      </w:r>
      <w:r w:rsidRPr="0084402E">
        <w:rPr>
          <w:rFonts w:ascii="Arial" w:eastAsiaTheme="minorEastAsia" w:hAnsi="Arial" w:cs="Arial"/>
          <w:sz w:val="24"/>
          <w:szCs w:val="24"/>
        </w:rPr>
        <w:lastRenderedPageBreak/>
        <w:t xml:space="preserve">que el propio IEAEY tuviera </w:t>
      </w:r>
      <w:r w:rsidR="00263503" w:rsidRPr="0084402E">
        <w:rPr>
          <w:rFonts w:ascii="Arial" w:eastAsiaTheme="minorEastAsia" w:hAnsi="Arial" w:cs="Arial"/>
          <w:sz w:val="24"/>
          <w:szCs w:val="24"/>
        </w:rPr>
        <w:t xml:space="preserve">referente </w:t>
      </w:r>
      <w:r w:rsidRPr="0084402E">
        <w:rPr>
          <w:rFonts w:ascii="Arial" w:eastAsiaTheme="minorEastAsia" w:hAnsi="Arial" w:cs="Arial"/>
          <w:sz w:val="24"/>
          <w:szCs w:val="24"/>
        </w:rPr>
        <w:t xml:space="preserve">al SASA. Utilizando la información contenida en estas bases de datos de manera ordenada y sistemática, sería factible hacer un mejor seguimiento de la gestión del programa y sus resultados. </w:t>
      </w:r>
    </w:p>
    <w:p w14:paraId="43349C9E" w14:textId="273A11DE" w:rsidR="00640418" w:rsidRPr="00197E7F" w:rsidRDefault="00197E7F" w:rsidP="004C0514">
      <w:pPr>
        <w:spacing w:after="0" w:line="240" w:lineRule="auto"/>
        <w:rPr>
          <w:rFonts w:ascii="Arial" w:eastAsiaTheme="minorEastAsia" w:hAnsi="Arial" w:cs="Arial"/>
          <w:sz w:val="24"/>
          <w:szCs w:val="24"/>
        </w:rPr>
      </w:pPr>
      <w:r>
        <w:rPr>
          <w:rFonts w:ascii="Arial" w:eastAsiaTheme="minorEastAsia" w:hAnsi="Arial" w:cs="Arial"/>
          <w:sz w:val="24"/>
          <w:szCs w:val="24"/>
        </w:rPr>
        <w:br w:type="page"/>
      </w:r>
    </w:p>
    <w:p w14:paraId="546935DC" w14:textId="77777777" w:rsidR="00640418" w:rsidRPr="0084402E" w:rsidRDefault="00640418" w:rsidP="004C0514">
      <w:pPr>
        <w:spacing w:after="0" w:line="360" w:lineRule="auto"/>
        <w:jc w:val="center"/>
        <w:rPr>
          <w:rFonts w:ascii="Arial" w:hAnsi="Arial" w:cs="Arial"/>
          <w:sz w:val="24"/>
          <w:szCs w:val="24"/>
        </w:rPr>
      </w:pPr>
    </w:p>
    <w:p w14:paraId="6344184E" w14:textId="77777777" w:rsidR="00640418" w:rsidRDefault="00640418" w:rsidP="004C0514">
      <w:pPr>
        <w:spacing w:after="0" w:line="360" w:lineRule="auto"/>
        <w:jc w:val="center"/>
        <w:rPr>
          <w:rFonts w:ascii="Arial" w:hAnsi="Arial" w:cs="Arial"/>
          <w:sz w:val="24"/>
          <w:szCs w:val="24"/>
        </w:rPr>
      </w:pPr>
    </w:p>
    <w:p w14:paraId="1A370E95" w14:textId="77777777" w:rsidR="00197E7F" w:rsidRDefault="00197E7F" w:rsidP="004C0514">
      <w:pPr>
        <w:spacing w:after="0" w:line="360" w:lineRule="auto"/>
        <w:jc w:val="center"/>
        <w:rPr>
          <w:rFonts w:ascii="Arial" w:hAnsi="Arial" w:cs="Arial"/>
          <w:sz w:val="24"/>
          <w:szCs w:val="24"/>
        </w:rPr>
      </w:pPr>
    </w:p>
    <w:p w14:paraId="4D37173C" w14:textId="77777777" w:rsidR="00197E7F" w:rsidRDefault="00197E7F" w:rsidP="004C0514">
      <w:pPr>
        <w:spacing w:after="0" w:line="360" w:lineRule="auto"/>
        <w:jc w:val="center"/>
        <w:rPr>
          <w:rFonts w:ascii="Arial" w:hAnsi="Arial" w:cs="Arial"/>
          <w:sz w:val="24"/>
          <w:szCs w:val="24"/>
        </w:rPr>
      </w:pPr>
    </w:p>
    <w:p w14:paraId="55833FF9" w14:textId="77777777" w:rsidR="00197E7F" w:rsidRPr="0084402E" w:rsidRDefault="00197E7F" w:rsidP="004C0514">
      <w:pPr>
        <w:spacing w:after="0" w:line="360" w:lineRule="auto"/>
        <w:jc w:val="center"/>
        <w:rPr>
          <w:rFonts w:ascii="Arial" w:hAnsi="Arial" w:cs="Arial"/>
          <w:sz w:val="24"/>
          <w:szCs w:val="24"/>
        </w:rPr>
      </w:pPr>
    </w:p>
    <w:p w14:paraId="46654AF1" w14:textId="77777777" w:rsidR="00640418" w:rsidRPr="0084402E" w:rsidRDefault="00640418" w:rsidP="004C0514">
      <w:pPr>
        <w:spacing w:after="0" w:line="360" w:lineRule="auto"/>
        <w:jc w:val="center"/>
        <w:rPr>
          <w:rFonts w:ascii="Arial" w:hAnsi="Arial" w:cs="Arial"/>
          <w:sz w:val="24"/>
          <w:szCs w:val="24"/>
        </w:rPr>
      </w:pPr>
    </w:p>
    <w:p w14:paraId="36F8DAE4" w14:textId="77777777" w:rsidR="00640418" w:rsidRPr="0084402E" w:rsidRDefault="00640418" w:rsidP="004C0514">
      <w:pPr>
        <w:spacing w:after="0" w:line="360" w:lineRule="auto"/>
        <w:jc w:val="center"/>
        <w:rPr>
          <w:rFonts w:ascii="Arial" w:hAnsi="Arial" w:cs="Arial"/>
          <w:sz w:val="24"/>
          <w:szCs w:val="24"/>
        </w:rPr>
      </w:pPr>
    </w:p>
    <w:p w14:paraId="03F2206B" w14:textId="77777777" w:rsidR="00640418" w:rsidRPr="0084402E" w:rsidRDefault="00640418" w:rsidP="004C0514">
      <w:pPr>
        <w:spacing w:after="0" w:line="360" w:lineRule="auto"/>
        <w:jc w:val="center"/>
        <w:rPr>
          <w:rFonts w:ascii="Arial" w:hAnsi="Arial" w:cs="Arial"/>
          <w:sz w:val="24"/>
          <w:szCs w:val="24"/>
        </w:rPr>
      </w:pPr>
    </w:p>
    <w:p w14:paraId="7AD25633" w14:textId="77777777" w:rsidR="00640418" w:rsidRDefault="00640418" w:rsidP="004C0514">
      <w:pPr>
        <w:spacing w:after="0" w:line="360" w:lineRule="auto"/>
        <w:jc w:val="center"/>
        <w:rPr>
          <w:rFonts w:ascii="Arial" w:hAnsi="Arial" w:cs="Arial"/>
          <w:sz w:val="24"/>
          <w:szCs w:val="24"/>
        </w:rPr>
      </w:pPr>
    </w:p>
    <w:p w14:paraId="70E68613" w14:textId="77777777" w:rsidR="00315EF2" w:rsidRDefault="00315EF2" w:rsidP="004C0514">
      <w:pPr>
        <w:spacing w:after="0" w:line="360" w:lineRule="auto"/>
        <w:jc w:val="center"/>
        <w:rPr>
          <w:rFonts w:ascii="Arial" w:hAnsi="Arial" w:cs="Arial"/>
          <w:sz w:val="24"/>
          <w:szCs w:val="24"/>
        </w:rPr>
      </w:pPr>
    </w:p>
    <w:p w14:paraId="56B26C34" w14:textId="77777777" w:rsidR="00315EF2" w:rsidRDefault="00315EF2" w:rsidP="004C0514">
      <w:pPr>
        <w:spacing w:after="0" w:line="360" w:lineRule="auto"/>
        <w:jc w:val="center"/>
        <w:rPr>
          <w:rFonts w:ascii="Arial" w:hAnsi="Arial" w:cs="Arial"/>
          <w:sz w:val="24"/>
          <w:szCs w:val="24"/>
        </w:rPr>
      </w:pPr>
    </w:p>
    <w:p w14:paraId="15EDF6E9" w14:textId="77777777" w:rsidR="00315EF2" w:rsidRDefault="00315EF2" w:rsidP="004C0514">
      <w:pPr>
        <w:spacing w:after="0" w:line="360" w:lineRule="auto"/>
        <w:jc w:val="center"/>
        <w:rPr>
          <w:rFonts w:ascii="Arial" w:hAnsi="Arial" w:cs="Arial"/>
          <w:sz w:val="24"/>
          <w:szCs w:val="24"/>
        </w:rPr>
      </w:pPr>
    </w:p>
    <w:p w14:paraId="65261153" w14:textId="77777777" w:rsidR="00315EF2" w:rsidRDefault="00315EF2" w:rsidP="004C0514">
      <w:pPr>
        <w:spacing w:after="0" w:line="360" w:lineRule="auto"/>
        <w:jc w:val="center"/>
        <w:rPr>
          <w:rFonts w:ascii="Arial" w:hAnsi="Arial" w:cs="Arial"/>
          <w:sz w:val="24"/>
          <w:szCs w:val="24"/>
        </w:rPr>
      </w:pPr>
    </w:p>
    <w:p w14:paraId="00737E57" w14:textId="77777777" w:rsidR="00315EF2" w:rsidRPr="0084402E" w:rsidRDefault="00315EF2" w:rsidP="004C0514">
      <w:pPr>
        <w:spacing w:after="0" w:line="360" w:lineRule="auto"/>
        <w:jc w:val="center"/>
        <w:rPr>
          <w:rFonts w:ascii="Arial" w:hAnsi="Arial" w:cs="Arial"/>
          <w:sz w:val="24"/>
          <w:szCs w:val="24"/>
        </w:rPr>
      </w:pPr>
    </w:p>
    <w:p w14:paraId="7241DE9B" w14:textId="77777777" w:rsidR="00640418" w:rsidRPr="0084402E" w:rsidRDefault="00640418" w:rsidP="004C0514">
      <w:pPr>
        <w:spacing w:after="0" w:line="360" w:lineRule="auto"/>
        <w:jc w:val="center"/>
        <w:rPr>
          <w:rFonts w:ascii="Arial" w:hAnsi="Arial" w:cs="Arial"/>
          <w:sz w:val="24"/>
          <w:szCs w:val="24"/>
        </w:rPr>
      </w:pPr>
    </w:p>
    <w:p w14:paraId="6405D8B7" w14:textId="77777777" w:rsidR="00640418" w:rsidRPr="0084402E" w:rsidRDefault="00640418" w:rsidP="004C0514">
      <w:pPr>
        <w:spacing w:after="0" w:line="360" w:lineRule="auto"/>
        <w:jc w:val="center"/>
        <w:rPr>
          <w:rFonts w:ascii="Arial" w:hAnsi="Arial" w:cs="Arial"/>
          <w:sz w:val="24"/>
          <w:szCs w:val="24"/>
        </w:rPr>
      </w:pPr>
    </w:p>
    <w:p w14:paraId="4F57E0C9" w14:textId="77777777" w:rsidR="00640418" w:rsidRPr="0084402E" w:rsidRDefault="00640418" w:rsidP="004C0514">
      <w:pPr>
        <w:spacing w:after="0" w:line="360" w:lineRule="auto"/>
        <w:jc w:val="center"/>
        <w:rPr>
          <w:rFonts w:ascii="Arial" w:eastAsiaTheme="minorEastAsia" w:hAnsi="Arial" w:cs="Arial"/>
          <w:b/>
          <w:sz w:val="24"/>
          <w:szCs w:val="24"/>
        </w:rPr>
      </w:pPr>
      <w:r w:rsidRPr="0084402E">
        <w:rPr>
          <w:rFonts w:ascii="Arial" w:eastAsiaTheme="minorEastAsia" w:hAnsi="Arial" w:cs="Arial"/>
          <w:b/>
          <w:sz w:val="24"/>
          <w:szCs w:val="24"/>
        </w:rPr>
        <w:t>ANEXOS</w:t>
      </w:r>
    </w:p>
    <w:p w14:paraId="795765F8" w14:textId="77777777" w:rsidR="00640418" w:rsidRPr="0084402E" w:rsidRDefault="00640418" w:rsidP="004C0514">
      <w:pPr>
        <w:spacing w:line="360" w:lineRule="auto"/>
        <w:rPr>
          <w:rFonts w:ascii="Arial" w:hAnsi="Arial" w:cs="Arial"/>
          <w:sz w:val="24"/>
          <w:szCs w:val="24"/>
        </w:rPr>
      </w:pPr>
    </w:p>
    <w:p w14:paraId="28EFCAF7" w14:textId="77777777" w:rsidR="00640418" w:rsidRPr="0084402E" w:rsidRDefault="00640418" w:rsidP="004C0514">
      <w:pPr>
        <w:spacing w:after="0" w:line="240" w:lineRule="auto"/>
        <w:rPr>
          <w:rFonts w:ascii="Arial" w:hAnsi="Arial" w:cs="Arial"/>
          <w:sz w:val="24"/>
          <w:szCs w:val="24"/>
        </w:rPr>
      </w:pPr>
      <w:r w:rsidRPr="0084402E">
        <w:rPr>
          <w:rFonts w:ascii="Arial" w:hAnsi="Arial" w:cs="Arial"/>
          <w:sz w:val="24"/>
          <w:szCs w:val="24"/>
        </w:rPr>
        <w:br w:type="page"/>
      </w:r>
    </w:p>
    <w:p w14:paraId="124A208D" w14:textId="77777777" w:rsidR="00640418" w:rsidRDefault="00640418" w:rsidP="004C0514">
      <w:pPr>
        <w:spacing w:after="0" w:line="360" w:lineRule="auto"/>
        <w:jc w:val="center"/>
        <w:rPr>
          <w:rFonts w:ascii="Arial" w:hAnsi="Arial" w:cs="Arial"/>
          <w:sz w:val="24"/>
          <w:szCs w:val="24"/>
        </w:rPr>
      </w:pPr>
    </w:p>
    <w:p w14:paraId="79CC4664" w14:textId="77777777" w:rsidR="00197E7F" w:rsidRDefault="00197E7F" w:rsidP="004C0514">
      <w:pPr>
        <w:spacing w:after="0" w:line="360" w:lineRule="auto"/>
        <w:jc w:val="center"/>
        <w:rPr>
          <w:rFonts w:ascii="Arial" w:hAnsi="Arial" w:cs="Arial"/>
          <w:sz w:val="24"/>
          <w:szCs w:val="24"/>
        </w:rPr>
      </w:pPr>
    </w:p>
    <w:p w14:paraId="2CB554E1" w14:textId="77777777" w:rsidR="00197E7F" w:rsidRDefault="00197E7F" w:rsidP="004C0514">
      <w:pPr>
        <w:spacing w:after="0" w:line="360" w:lineRule="auto"/>
        <w:jc w:val="center"/>
        <w:rPr>
          <w:rFonts w:ascii="Arial" w:hAnsi="Arial" w:cs="Arial"/>
          <w:sz w:val="24"/>
          <w:szCs w:val="24"/>
        </w:rPr>
      </w:pPr>
    </w:p>
    <w:p w14:paraId="4385FA9A" w14:textId="77777777" w:rsidR="00197E7F" w:rsidRDefault="00197E7F" w:rsidP="004C0514">
      <w:pPr>
        <w:spacing w:after="0" w:line="360" w:lineRule="auto"/>
        <w:jc w:val="center"/>
        <w:rPr>
          <w:rFonts w:ascii="Arial" w:hAnsi="Arial" w:cs="Arial"/>
          <w:sz w:val="24"/>
          <w:szCs w:val="24"/>
        </w:rPr>
      </w:pPr>
    </w:p>
    <w:p w14:paraId="05EBCF00" w14:textId="77777777" w:rsidR="00197E7F" w:rsidRDefault="00197E7F" w:rsidP="004C0514">
      <w:pPr>
        <w:spacing w:after="0" w:line="360" w:lineRule="auto"/>
        <w:jc w:val="center"/>
        <w:rPr>
          <w:rFonts w:ascii="Arial" w:hAnsi="Arial" w:cs="Arial"/>
          <w:sz w:val="24"/>
          <w:szCs w:val="24"/>
        </w:rPr>
      </w:pPr>
    </w:p>
    <w:p w14:paraId="4270D970" w14:textId="77777777" w:rsidR="00197E7F" w:rsidRDefault="00197E7F" w:rsidP="004C0514">
      <w:pPr>
        <w:spacing w:after="0" w:line="360" w:lineRule="auto"/>
        <w:jc w:val="center"/>
        <w:rPr>
          <w:rFonts w:ascii="Arial" w:hAnsi="Arial" w:cs="Arial"/>
          <w:sz w:val="24"/>
          <w:szCs w:val="24"/>
        </w:rPr>
      </w:pPr>
    </w:p>
    <w:p w14:paraId="7E527E7E" w14:textId="77777777" w:rsidR="00197E7F" w:rsidRDefault="00197E7F" w:rsidP="004C0514">
      <w:pPr>
        <w:spacing w:after="0" w:line="360" w:lineRule="auto"/>
        <w:jc w:val="center"/>
        <w:rPr>
          <w:rFonts w:ascii="Arial" w:hAnsi="Arial" w:cs="Arial"/>
          <w:sz w:val="24"/>
          <w:szCs w:val="24"/>
        </w:rPr>
      </w:pPr>
    </w:p>
    <w:p w14:paraId="3DCB9BB0" w14:textId="77777777" w:rsidR="00197E7F" w:rsidRPr="0084402E" w:rsidRDefault="00197E7F" w:rsidP="004C0514">
      <w:pPr>
        <w:spacing w:after="0" w:line="360" w:lineRule="auto"/>
        <w:jc w:val="center"/>
        <w:rPr>
          <w:rFonts w:ascii="Arial" w:hAnsi="Arial" w:cs="Arial"/>
          <w:sz w:val="24"/>
          <w:szCs w:val="24"/>
        </w:rPr>
      </w:pPr>
    </w:p>
    <w:p w14:paraId="40CF8B41" w14:textId="77777777" w:rsidR="00640418" w:rsidRPr="0084402E" w:rsidRDefault="00640418" w:rsidP="004C0514">
      <w:pPr>
        <w:spacing w:after="0" w:line="360" w:lineRule="auto"/>
        <w:jc w:val="center"/>
        <w:rPr>
          <w:rFonts w:ascii="Arial" w:hAnsi="Arial" w:cs="Arial"/>
          <w:sz w:val="24"/>
          <w:szCs w:val="24"/>
        </w:rPr>
      </w:pPr>
    </w:p>
    <w:p w14:paraId="751E01C5" w14:textId="77777777" w:rsidR="00640418" w:rsidRPr="0084402E" w:rsidRDefault="00640418" w:rsidP="004C0514">
      <w:pPr>
        <w:spacing w:after="0" w:line="360" w:lineRule="auto"/>
        <w:jc w:val="center"/>
        <w:rPr>
          <w:rFonts w:ascii="Arial" w:hAnsi="Arial" w:cs="Arial"/>
          <w:sz w:val="24"/>
          <w:szCs w:val="24"/>
        </w:rPr>
      </w:pPr>
    </w:p>
    <w:p w14:paraId="1B36D582" w14:textId="77777777" w:rsidR="00640418" w:rsidRPr="0084402E" w:rsidRDefault="00640418" w:rsidP="004C0514">
      <w:pPr>
        <w:spacing w:after="0" w:line="360" w:lineRule="auto"/>
        <w:jc w:val="center"/>
        <w:rPr>
          <w:rFonts w:ascii="Arial" w:hAnsi="Arial" w:cs="Arial"/>
          <w:sz w:val="24"/>
          <w:szCs w:val="24"/>
        </w:rPr>
      </w:pPr>
    </w:p>
    <w:p w14:paraId="21A9A848" w14:textId="77777777" w:rsidR="00640418" w:rsidRPr="0084402E" w:rsidRDefault="00640418" w:rsidP="004C0514">
      <w:pPr>
        <w:spacing w:after="0" w:line="360" w:lineRule="auto"/>
        <w:jc w:val="center"/>
        <w:rPr>
          <w:rFonts w:ascii="Arial" w:hAnsi="Arial" w:cs="Arial"/>
          <w:sz w:val="24"/>
          <w:szCs w:val="24"/>
        </w:rPr>
      </w:pPr>
    </w:p>
    <w:p w14:paraId="04A993A6" w14:textId="77777777" w:rsidR="00640418" w:rsidRPr="0084402E" w:rsidRDefault="00640418" w:rsidP="004C0514">
      <w:pPr>
        <w:spacing w:after="0" w:line="360" w:lineRule="auto"/>
        <w:jc w:val="center"/>
        <w:rPr>
          <w:rFonts w:ascii="Arial" w:hAnsi="Arial" w:cs="Arial"/>
          <w:sz w:val="24"/>
          <w:szCs w:val="24"/>
        </w:rPr>
      </w:pPr>
    </w:p>
    <w:p w14:paraId="7891F156" w14:textId="77777777" w:rsidR="00640418" w:rsidRPr="0084402E" w:rsidRDefault="00640418" w:rsidP="004C0514">
      <w:pPr>
        <w:spacing w:after="0" w:line="360" w:lineRule="auto"/>
        <w:jc w:val="center"/>
        <w:rPr>
          <w:rFonts w:ascii="Arial" w:hAnsi="Arial" w:cs="Arial"/>
          <w:sz w:val="24"/>
          <w:szCs w:val="24"/>
        </w:rPr>
      </w:pPr>
    </w:p>
    <w:p w14:paraId="11E46CA0" w14:textId="77777777" w:rsidR="00640418" w:rsidRPr="0084402E" w:rsidRDefault="006D7BB6" w:rsidP="004C0514">
      <w:pPr>
        <w:spacing w:after="0" w:line="360" w:lineRule="auto"/>
        <w:jc w:val="center"/>
        <w:rPr>
          <w:rFonts w:ascii="Arial" w:hAnsi="Arial" w:cs="Arial"/>
          <w:b/>
          <w:sz w:val="24"/>
          <w:szCs w:val="24"/>
        </w:rPr>
      </w:pPr>
      <w:r w:rsidRPr="0084402E">
        <w:rPr>
          <w:rFonts w:ascii="Arial" w:hAnsi="Arial" w:cs="Arial"/>
          <w:b/>
          <w:sz w:val="24"/>
          <w:szCs w:val="24"/>
        </w:rPr>
        <w:t>ANEXO I</w:t>
      </w:r>
    </w:p>
    <w:p w14:paraId="0327FDB0" w14:textId="77777777" w:rsidR="00640418" w:rsidRPr="0084402E" w:rsidRDefault="006D7BB6" w:rsidP="004C0514">
      <w:pPr>
        <w:spacing w:after="0" w:line="360" w:lineRule="auto"/>
        <w:jc w:val="center"/>
        <w:rPr>
          <w:rFonts w:ascii="Arial" w:eastAsiaTheme="minorEastAsia" w:hAnsi="Arial" w:cs="Arial"/>
          <w:b/>
          <w:sz w:val="24"/>
          <w:szCs w:val="24"/>
        </w:rPr>
      </w:pPr>
      <w:r w:rsidRPr="0084402E">
        <w:rPr>
          <w:rFonts w:ascii="Arial" w:eastAsiaTheme="minorEastAsia" w:hAnsi="Arial" w:cs="Arial"/>
          <w:b/>
          <w:sz w:val="24"/>
          <w:szCs w:val="24"/>
        </w:rPr>
        <w:t>BASE DE DATOS DE GABINETE UTILIZADAS PARA EL ANÁLISIS EN FORMATO ELECTRÓNICO</w:t>
      </w:r>
    </w:p>
    <w:p w14:paraId="303BE7F6" w14:textId="77777777" w:rsidR="00640418" w:rsidRPr="0084402E" w:rsidRDefault="00640418" w:rsidP="004C0514">
      <w:pPr>
        <w:spacing w:line="360" w:lineRule="auto"/>
        <w:rPr>
          <w:rFonts w:ascii="Arial" w:hAnsi="Arial" w:cs="Arial"/>
          <w:sz w:val="24"/>
          <w:szCs w:val="24"/>
        </w:rPr>
      </w:pPr>
    </w:p>
    <w:p w14:paraId="053E837E" w14:textId="77777777" w:rsidR="00640418" w:rsidRPr="0084402E" w:rsidRDefault="00640418" w:rsidP="004C0514">
      <w:pPr>
        <w:spacing w:after="0" w:line="240" w:lineRule="auto"/>
        <w:rPr>
          <w:rFonts w:ascii="Arial" w:hAnsi="Arial" w:cs="Arial"/>
          <w:sz w:val="24"/>
          <w:szCs w:val="24"/>
        </w:rPr>
      </w:pPr>
      <w:r w:rsidRPr="0084402E">
        <w:rPr>
          <w:rFonts w:ascii="Arial" w:hAnsi="Arial" w:cs="Arial"/>
          <w:sz w:val="24"/>
          <w:szCs w:val="24"/>
        </w:rPr>
        <w:br w:type="page"/>
      </w:r>
    </w:p>
    <w:tbl>
      <w:tblPr>
        <w:tblStyle w:val="Tablanormal11"/>
        <w:tblW w:w="0" w:type="auto"/>
        <w:tblLayout w:type="fixed"/>
        <w:tblLook w:val="04A0" w:firstRow="1" w:lastRow="0" w:firstColumn="1" w:lastColumn="0" w:noHBand="0" w:noVBand="1"/>
      </w:tblPr>
      <w:tblGrid>
        <w:gridCol w:w="2038"/>
        <w:gridCol w:w="55"/>
        <w:gridCol w:w="1984"/>
        <w:gridCol w:w="5998"/>
      </w:tblGrid>
      <w:tr w:rsidR="00DF0C78" w:rsidRPr="0084402E" w14:paraId="4BC54FEE" w14:textId="77777777" w:rsidTr="00901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14:paraId="4A4728F4" w14:textId="77777777" w:rsidR="00DF0C78" w:rsidRPr="0084402E" w:rsidRDefault="00DF0C78" w:rsidP="003F022C">
            <w:pPr>
              <w:rPr>
                <w:rFonts w:ascii="Arial" w:hAnsi="Arial" w:cs="Arial"/>
                <w:sz w:val="24"/>
                <w:szCs w:val="24"/>
              </w:rPr>
            </w:pPr>
            <w:r w:rsidRPr="0084402E">
              <w:rPr>
                <w:rFonts w:ascii="Arial" w:hAnsi="Arial" w:cs="Arial"/>
                <w:sz w:val="24"/>
                <w:szCs w:val="24"/>
              </w:rPr>
              <w:lastRenderedPageBreak/>
              <w:t>NOMBRE DEL ARCHIVO</w:t>
            </w:r>
          </w:p>
        </w:tc>
        <w:tc>
          <w:tcPr>
            <w:tcW w:w="1984" w:type="dxa"/>
          </w:tcPr>
          <w:p w14:paraId="26FAEA9D" w14:textId="77777777" w:rsidR="00DF0C78" w:rsidRPr="0084402E" w:rsidRDefault="00DF0C78" w:rsidP="00DF0C7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FUENTE</w:t>
            </w:r>
          </w:p>
        </w:tc>
        <w:tc>
          <w:tcPr>
            <w:tcW w:w="5998" w:type="dxa"/>
          </w:tcPr>
          <w:p w14:paraId="030757F0" w14:textId="77777777" w:rsidR="00DF0C78" w:rsidRPr="0084402E" w:rsidRDefault="00DF0C78" w:rsidP="009019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TÍTULO</w:t>
            </w:r>
          </w:p>
        </w:tc>
      </w:tr>
      <w:tr w:rsidR="00DF0C78" w:rsidRPr="0084402E" w14:paraId="2030B259" w14:textId="77777777" w:rsidTr="00901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14:paraId="6B982AB6" w14:textId="77777777" w:rsidR="00DF0C78" w:rsidRPr="0084402E" w:rsidRDefault="00DF0C78" w:rsidP="003F022C">
            <w:pPr>
              <w:rPr>
                <w:rFonts w:ascii="Arial" w:hAnsi="Arial" w:cs="Arial"/>
                <w:b w:val="0"/>
                <w:sz w:val="24"/>
                <w:szCs w:val="24"/>
              </w:rPr>
            </w:pPr>
            <w:r w:rsidRPr="0084402E">
              <w:rPr>
                <w:rFonts w:ascii="Arial" w:hAnsi="Arial" w:cs="Arial"/>
                <w:b w:val="0"/>
                <w:sz w:val="24"/>
                <w:szCs w:val="24"/>
              </w:rPr>
              <w:t>2.-POA UBPs IEAEY_2014</w:t>
            </w:r>
          </w:p>
        </w:tc>
        <w:tc>
          <w:tcPr>
            <w:tcW w:w="1984" w:type="dxa"/>
          </w:tcPr>
          <w:p w14:paraId="47AB8360" w14:textId="77777777" w:rsidR="00DF0C78" w:rsidRPr="0084402E" w:rsidRDefault="00DF0C78" w:rsidP="00DF0C78">
            <w:pPr>
              <w:pStyle w:val="Prrafodelista"/>
              <w:numPr>
                <w:ilvl w:val="0"/>
                <w:numId w:val="23"/>
              </w:numPr>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402E">
              <w:rPr>
                <w:rFonts w:ascii="Arial" w:hAnsi="Arial" w:cs="Arial"/>
                <w:sz w:val="24"/>
                <w:szCs w:val="24"/>
              </w:rPr>
              <w:t>IEAEY,STGPE, SAF</w:t>
            </w:r>
          </w:p>
        </w:tc>
        <w:tc>
          <w:tcPr>
            <w:tcW w:w="5998" w:type="dxa"/>
          </w:tcPr>
          <w:p w14:paraId="19DBCC13" w14:textId="77777777" w:rsidR="00DF0C78" w:rsidRPr="0084402E" w:rsidRDefault="00DF0C78" w:rsidP="00901926">
            <w:pPr>
              <w:pStyle w:val="Prrafodelista"/>
              <w:numPr>
                <w:ilvl w:val="0"/>
                <w:numId w:val="23"/>
              </w:numPr>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402E">
              <w:rPr>
                <w:rFonts w:ascii="Arial" w:hAnsi="Arial" w:cs="Arial"/>
                <w:sz w:val="24"/>
                <w:szCs w:val="24"/>
              </w:rPr>
              <w:t>Programa Operativo Anual Atención a población joven y adulta de 15 años en adelante, a través del Instituto de Educación para Adultos del Estado de Yucatán (IEAEY); del Presupuesto Institucional de Servicios Personales del IEAEY; y del Presupuesto de Gastos de administración del Instituto de Educación para Adultos del Estado de Yucatán.</w:t>
            </w:r>
          </w:p>
        </w:tc>
      </w:tr>
      <w:tr w:rsidR="00DF0C78" w:rsidRPr="0084402E" w14:paraId="161DD55D" w14:textId="77777777" w:rsidTr="00901926">
        <w:tc>
          <w:tcPr>
            <w:cnfStyle w:val="001000000000" w:firstRow="0" w:lastRow="0" w:firstColumn="1" w:lastColumn="0" w:oddVBand="0" w:evenVBand="0" w:oddHBand="0" w:evenHBand="0" w:firstRowFirstColumn="0" w:firstRowLastColumn="0" w:lastRowFirstColumn="0" w:lastRowLastColumn="0"/>
            <w:tcW w:w="2093" w:type="dxa"/>
            <w:gridSpan w:val="2"/>
          </w:tcPr>
          <w:p w14:paraId="0736B1B7" w14:textId="77777777" w:rsidR="00DF0C78" w:rsidRPr="0084402E" w:rsidRDefault="00DF0C78" w:rsidP="003F022C">
            <w:pPr>
              <w:rPr>
                <w:rFonts w:ascii="Arial" w:hAnsi="Arial" w:cs="Arial"/>
                <w:b w:val="0"/>
                <w:sz w:val="24"/>
                <w:szCs w:val="24"/>
              </w:rPr>
            </w:pPr>
            <w:r w:rsidRPr="0084402E">
              <w:rPr>
                <w:rFonts w:ascii="Arial" w:hAnsi="Arial" w:cs="Arial"/>
                <w:b w:val="0"/>
                <w:sz w:val="24"/>
                <w:szCs w:val="24"/>
              </w:rPr>
              <w:t>078PP Matriz estatal</w:t>
            </w:r>
          </w:p>
        </w:tc>
        <w:tc>
          <w:tcPr>
            <w:tcW w:w="1984" w:type="dxa"/>
          </w:tcPr>
          <w:p w14:paraId="584C617E" w14:textId="77777777" w:rsidR="00DF0C78" w:rsidRPr="0084402E" w:rsidRDefault="00DF0C78" w:rsidP="00DF0C78">
            <w:pPr>
              <w:pStyle w:val="Prrafodelista"/>
              <w:numPr>
                <w:ilvl w:val="0"/>
                <w:numId w:val="23"/>
              </w:numPr>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84402E">
              <w:rPr>
                <w:rFonts w:ascii="Arial" w:hAnsi="Arial" w:cs="Arial"/>
                <w:sz w:val="24"/>
                <w:szCs w:val="24"/>
              </w:rPr>
              <w:t>IEAEY, STGPE</w:t>
            </w:r>
          </w:p>
        </w:tc>
        <w:tc>
          <w:tcPr>
            <w:tcW w:w="5998" w:type="dxa"/>
          </w:tcPr>
          <w:p w14:paraId="0544F877" w14:textId="77777777" w:rsidR="00DF0C78" w:rsidRPr="0084402E" w:rsidRDefault="00DF0C78" w:rsidP="00901926">
            <w:pPr>
              <w:pStyle w:val="Prrafodelista"/>
              <w:numPr>
                <w:ilvl w:val="0"/>
                <w:numId w:val="23"/>
              </w:numPr>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t>Matriz de Indicadores de Resultados del Programa Presupuestario: 78 Rezago Educativo</w:t>
            </w:r>
          </w:p>
          <w:p w14:paraId="41FCB0F7" w14:textId="77777777" w:rsidR="00DF0C78" w:rsidRPr="0084402E" w:rsidRDefault="00DF0C78" w:rsidP="00901926">
            <w:pPr>
              <w:pStyle w:val="Prrafodelista"/>
              <w:numPr>
                <w:ilvl w:val="0"/>
                <w:numId w:val="23"/>
              </w:numPr>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F0C78" w:rsidRPr="0084402E" w14:paraId="08F65F46" w14:textId="77777777" w:rsidTr="00901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14:paraId="118F1E44" w14:textId="77777777" w:rsidR="00DF0C78" w:rsidRPr="0084402E" w:rsidRDefault="00DF0C78" w:rsidP="003F022C">
            <w:pPr>
              <w:rPr>
                <w:rFonts w:ascii="Arial" w:hAnsi="Arial" w:cs="Arial"/>
                <w:b w:val="0"/>
                <w:sz w:val="24"/>
                <w:szCs w:val="24"/>
              </w:rPr>
            </w:pPr>
            <w:r w:rsidRPr="0084402E">
              <w:rPr>
                <w:rFonts w:ascii="Arial" w:hAnsi="Arial" w:cs="Arial"/>
                <w:b w:val="0"/>
                <w:sz w:val="24"/>
                <w:szCs w:val="24"/>
              </w:rPr>
              <w:t>III_MPP_PROGRAMA_SECTORIAL_DE_EDUCACIN_DE_CALIDAD</w:t>
            </w:r>
          </w:p>
        </w:tc>
        <w:tc>
          <w:tcPr>
            <w:tcW w:w="1984" w:type="dxa"/>
          </w:tcPr>
          <w:p w14:paraId="3A88C323" w14:textId="77777777" w:rsidR="00DF0C78" w:rsidRPr="0084402E" w:rsidRDefault="00DF0C78" w:rsidP="00DF0C78">
            <w:pPr>
              <w:pStyle w:val="Prrafodelista"/>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t xml:space="preserve">Secretaría de Educación Gobierno del estado de Yucatán, </w:t>
            </w:r>
            <w:r w:rsidRPr="0084402E">
              <w:rPr>
                <w:rFonts w:ascii="Arial" w:hAnsi="Arial" w:cs="Arial"/>
                <w:sz w:val="24"/>
                <w:szCs w:val="24"/>
              </w:rPr>
              <w:t>STGPE</w:t>
            </w:r>
          </w:p>
        </w:tc>
        <w:tc>
          <w:tcPr>
            <w:tcW w:w="5998" w:type="dxa"/>
          </w:tcPr>
          <w:p w14:paraId="2BB2E48A" w14:textId="77777777" w:rsidR="00DF0C78" w:rsidRPr="0084402E" w:rsidRDefault="00776EB2" w:rsidP="00776EB2">
            <w:pPr>
              <w:pStyle w:val="Prrafodelista"/>
              <w:numPr>
                <w:ilvl w:val="0"/>
                <w:numId w:val="23"/>
              </w:numPr>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402E">
              <w:rPr>
                <w:rFonts w:ascii="Arial" w:hAnsi="Arial" w:cs="Arial"/>
                <w:bCs/>
                <w:sz w:val="24"/>
                <w:szCs w:val="24"/>
              </w:rPr>
              <w:t>Programa Sectorial de Educación de Calidad</w:t>
            </w:r>
          </w:p>
        </w:tc>
      </w:tr>
      <w:tr w:rsidR="00DF0C78" w:rsidRPr="0084402E" w14:paraId="07BE7818" w14:textId="77777777" w:rsidTr="00901926">
        <w:tc>
          <w:tcPr>
            <w:cnfStyle w:val="001000000000" w:firstRow="0" w:lastRow="0" w:firstColumn="1" w:lastColumn="0" w:oddVBand="0" w:evenVBand="0" w:oddHBand="0" w:evenHBand="0" w:firstRowFirstColumn="0" w:firstRowLastColumn="0" w:lastRowFirstColumn="0" w:lastRowLastColumn="0"/>
            <w:tcW w:w="2093" w:type="dxa"/>
            <w:gridSpan w:val="2"/>
          </w:tcPr>
          <w:p w14:paraId="6EB1AB70" w14:textId="77777777" w:rsidR="00DF0C78" w:rsidRPr="0084402E" w:rsidRDefault="00DF0C78" w:rsidP="003F022C">
            <w:pPr>
              <w:rPr>
                <w:rFonts w:ascii="Arial" w:hAnsi="Arial" w:cs="Arial"/>
                <w:b w:val="0"/>
                <w:sz w:val="24"/>
                <w:szCs w:val="24"/>
              </w:rPr>
            </w:pPr>
            <w:r w:rsidRPr="0084402E">
              <w:rPr>
                <w:rFonts w:ascii="Arial" w:hAnsi="Arial" w:cs="Arial"/>
                <w:b w:val="0"/>
                <w:sz w:val="24"/>
                <w:szCs w:val="24"/>
              </w:rPr>
              <w:t>PED-2012-2018-Yuc</w:t>
            </w:r>
          </w:p>
        </w:tc>
        <w:tc>
          <w:tcPr>
            <w:tcW w:w="1984" w:type="dxa"/>
          </w:tcPr>
          <w:p w14:paraId="310ACB91" w14:textId="77777777" w:rsidR="00DF0C78" w:rsidRPr="0084402E" w:rsidRDefault="00DF0C78" w:rsidP="00DF0C78">
            <w:pPr>
              <w:pStyle w:val="Prrafodelista"/>
              <w:numPr>
                <w:ilvl w:val="0"/>
                <w:numId w:val="23"/>
              </w:numPr>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Gobierno del Estado de Yucatán, STGPE</w:t>
            </w:r>
          </w:p>
        </w:tc>
        <w:tc>
          <w:tcPr>
            <w:tcW w:w="5998" w:type="dxa"/>
          </w:tcPr>
          <w:p w14:paraId="06305877" w14:textId="77777777" w:rsidR="00DF0C78" w:rsidRPr="0084402E" w:rsidRDefault="00DF0C78" w:rsidP="00901926">
            <w:pPr>
              <w:pStyle w:val="Prrafodelista"/>
              <w:numPr>
                <w:ilvl w:val="0"/>
                <w:numId w:val="23"/>
              </w:numPr>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Plan Estatal de Desarrollo de Yucatán 2012-2018</w:t>
            </w:r>
          </w:p>
        </w:tc>
      </w:tr>
      <w:tr w:rsidR="00DF0C78" w:rsidRPr="0084402E" w14:paraId="07837609" w14:textId="77777777" w:rsidTr="00901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14:paraId="3111E04D" w14:textId="77777777" w:rsidR="00DF0C78" w:rsidRPr="0084402E" w:rsidRDefault="00DF0C78" w:rsidP="003F022C">
            <w:pPr>
              <w:rPr>
                <w:rFonts w:ascii="Arial" w:hAnsi="Arial" w:cs="Arial"/>
                <w:b w:val="0"/>
                <w:sz w:val="24"/>
                <w:szCs w:val="24"/>
              </w:rPr>
            </w:pPr>
            <w:r w:rsidRPr="0084402E">
              <w:rPr>
                <w:rFonts w:ascii="Arial" w:hAnsi="Arial" w:cs="Arial"/>
                <w:b w:val="0"/>
                <w:sz w:val="24"/>
                <w:szCs w:val="24"/>
              </w:rPr>
              <w:t>3.-REGLAS DE OPERACION 2014 INEA</w:t>
            </w:r>
          </w:p>
        </w:tc>
        <w:tc>
          <w:tcPr>
            <w:tcW w:w="1984" w:type="dxa"/>
          </w:tcPr>
          <w:p w14:paraId="15D6AA90" w14:textId="77777777" w:rsidR="00DF0C78" w:rsidRPr="0084402E" w:rsidRDefault="00DF0C78" w:rsidP="00DF0C78">
            <w:pPr>
              <w:pStyle w:val="Prrafodelista"/>
              <w:numPr>
                <w:ilvl w:val="0"/>
                <w:numId w:val="23"/>
              </w:numPr>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t>INEA</w:t>
            </w:r>
          </w:p>
        </w:tc>
        <w:tc>
          <w:tcPr>
            <w:tcW w:w="5998" w:type="dxa"/>
          </w:tcPr>
          <w:p w14:paraId="675A1FD1" w14:textId="77777777" w:rsidR="00DF0C78" w:rsidRPr="0084402E" w:rsidRDefault="00DF0C78" w:rsidP="00901926">
            <w:pPr>
              <w:pStyle w:val="Prrafodelista"/>
              <w:numPr>
                <w:ilvl w:val="0"/>
                <w:numId w:val="23"/>
              </w:numPr>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402E">
              <w:rPr>
                <w:rFonts w:ascii="Arial" w:hAnsi="Arial" w:cs="Arial"/>
                <w:bCs/>
                <w:sz w:val="24"/>
                <w:szCs w:val="24"/>
              </w:rPr>
              <w:t>Reglas de Operación del Programa Atención a la Demanda de Educación para Adultos (INEA) para el ejercicio fiscal 2014.</w:t>
            </w:r>
          </w:p>
        </w:tc>
      </w:tr>
      <w:tr w:rsidR="00DF0C78" w:rsidRPr="0084402E" w14:paraId="41A43382" w14:textId="77777777" w:rsidTr="00901926">
        <w:tc>
          <w:tcPr>
            <w:cnfStyle w:val="001000000000" w:firstRow="0" w:lastRow="0" w:firstColumn="1" w:lastColumn="0" w:oddVBand="0" w:evenVBand="0" w:oddHBand="0" w:evenHBand="0" w:firstRowFirstColumn="0" w:firstRowLastColumn="0" w:lastRowFirstColumn="0" w:lastRowLastColumn="0"/>
            <w:tcW w:w="2093" w:type="dxa"/>
            <w:gridSpan w:val="2"/>
          </w:tcPr>
          <w:p w14:paraId="5953FA54" w14:textId="77777777" w:rsidR="00DF0C78" w:rsidRPr="0084402E" w:rsidRDefault="00DF0C78" w:rsidP="003F022C">
            <w:pPr>
              <w:rPr>
                <w:rFonts w:ascii="Arial" w:hAnsi="Arial" w:cs="Arial"/>
                <w:b w:val="0"/>
                <w:sz w:val="24"/>
                <w:szCs w:val="24"/>
              </w:rPr>
            </w:pPr>
            <w:r w:rsidRPr="0084402E">
              <w:rPr>
                <w:rFonts w:ascii="Arial" w:hAnsi="Arial" w:cs="Arial"/>
                <w:b w:val="0"/>
                <w:sz w:val="24"/>
                <w:szCs w:val="24"/>
              </w:rPr>
              <w:t>PND</w:t>
            </w:r>
          </w:p>
        </w:tc>
        <w:tc>
          <w:tcPr>
            <w:tcW w:w="1984" w:type="dxa"/>
          </w:tcPr>
          <w:p w14:paraId="05B7582A" w14:textId="77777777" w:rsidR="00DF0C78" w:rsidRPr="0084402E" w:rsidRDefault="00DF0C78" w:rsidP="00DF0C78">
            <w:pPr>
              <w:pStyle w:val="Prrafodelista"/>
              <w:numPr>
                <w:ilvl w:val="0"/>
                <w:numId w:val="23"/>
              </w:numPr>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t>Presidencia de la República</w:t>
            </w:r>
          </w:p>
        </w:tc>
        <w:tc>
          <w:tcPr>
            <w:tcW w:w="5998" w:type="dxa"/>
          </w:tcPr>
          <w:p w14:paraId="65BDE918" w14:textId="77777777" w:rsidR="00DF0C78" w:rsidRPr="0084402E" w:rsidRDefault="00DF0C78" w:rsidP="00901926">
            <w:pPr>
              <w:pStyle w:val="Prrafodelista"/>
              <w:numPr>
                <w:ilvl w:val="0"/>
                <w:numId w:val="23"/>
              </w:numPr>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t>Plan Nacional de Desarrollo 2013-2018 Gobierno de la República</w:t>
            </w:r>
          </w:p>
        </w:tc>
      </w:tr>
      <w:tr w:rsidR="00DF0C78" w:rsidRPr="0084402E" w14:paraId="72C4447E" w14:textId="77777777" w:rsidTr="00901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14:paraId="5358CA62" w14:textId="77777777" w:rsidR="00DF0C78" w:rsidRPr="0084402E" w:rsidRDefault="007B5F0E" w:rsidP="003F022C">
            <w:pPr>
              <w:rPr>
                <w:rFonts w:ascii="Arial" w:hAnsi="Arial" w:cs="Arial"/>
                <w:b w:val="0"/>
                <w:sz w:val="24"/>
                <w:szCs w:val="24"/>
              </w:rPr>
            </w:pPr>
            <w:r w:rsidRPr="0084402E">
              <w:rPr>
                <w:rFonts w:ascii="Arial" w:hAnsi="Arial" w:cs="Arial"/>
                <w:b w:val="0"/>
                <w:sz w:val="24"/>
                <w:szCs w:val="24"/>
              </w:rPr>
              <w:t>Página web</w:t>
            </w:r>
          </w:p>
        </w:tc>
        <w:tc>
          <w:tcPr>
            <w:tcW w:w="1984" w:type="dxa"/>
          </w:tcPr>
          <w:p w14:paraId="1058E85F" w14:textId="77777777" w:rsidR="00DF0C78" w:rsidRPr="0084402E" w:rsidRDefault="00DF0C78" w:rsidP="00DF0C78">
            <w:pPr>
              <w:pStyle w:val="Prrafodelista"/>
              <w:numPr>
                <w:ilvl w:val="0"/>
                <w:numId w:val="23"/>
              </w:numPr>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Secretaría de Educación Pública, SEP</w:t>
            </w:r>
          </w:p>
        </w:tc>
        <w:tc>
          <w:tcPr>
            <w:tcW w:w="5998" w:type="dxa"/>
          </w:tcPr>
          <w:p w14:paraId="3DD74507" w14:textId="77777777" w:rsidR="00DF0C78" w:rsidRPr="0084402E" w:rsidRDefault="00DF0C78" w:rsidP="00901926">
            <w:pPr>
              <w:pStyle w:val="Prrafodelista"/>
              <w:numPr>
                <w:ilvl w:val="0"/>
                <w:numId w:val="23"/>
              </w:numPr>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84402E">
              <w:rPr>
                <w:rFonts w:ascii="Arial" w:eastAsia="Times New Roman" w:hAnsi="Arial" w:cs="Arial"/>
                <w:color w:val="000000"/>
                <w:sz w:val="24"/>
                <w:szCs w:val="24"/>
                <w:lang w:eastAsia="es-MX"/>
              </w:rPr>
              <w:t>Programa Sectorial de Educación:</w:t>
            </w:r>
          </w:p>
          <w:p w14:paraId="067FE015" w14:textId="77777777" w:rsidR="00DF0C78" w:rsidRPr="0084402E" w:rsidRDefault="002A7AE0" w:rsidP="00901926">
            <w:pPr>
              <w:pStyle w:val="Prrafodelista"/>
              <w:numPr>
                <w:ilvl w:val="0"/>
                <w:numId w:val="23"/>
              </w:numPr>
              <w:autoSpaceDE w:val="0"/>
              <w:autoSpaceDN w:val="0"/>
              <w:adjustRightInd w:val="0"/>
              <w:spacing w:after="0" w:line="24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hyperlink r:id="rId17" w:history="1">
              <w:r w:rsidR="00DF0C78" w:rsidRPr="0084402E">
                <w:rPr>
                  <w:rFonts w:ascii="Arial" w:eastAsia="Times New Roman" w:hAnsi="Arial" w:cs="Arial"/>
                  <w:color w:val="0000FF"/>
                  <w:sz w:val="24"/>
                  <w:szCs w:val="24"/>
                  <w:u w:val="single"/>
                  <w:lang w:eastAsia="es-MX"/>
                </w:rPr>
                <w:t>http://www.dof.gob.mx/nota_detalle_popup.php?codigo=5326569</w:t>
              </w:r>
            </w:hyperlink>
          </w:p>
        </w:tc>
      </w:tr>
      <w:tr w:rsidR="00DF0C78" w:rsidRPr="0084402E" w14:paraId="11900C32" w14:textId="77777777" w:rsidTr="00901926">
        <w:tc>
          <w:tcPr>
            <w:cnfStyle w:val="001000000000" w:firstRow="0" w:lastRow="0" w:firstColumn="1" w:lastColumn="0" w:oddVBand="0" w:evenVBand="0" w:oddHBand="0" w:evenHBand="0" w:firstRowFirstColumn="0" w:firstRowLastColumn="0" w:lastRowFirstColumn="0" w:lastRowLastColumn="0"/>
            <w:tcW w:w="2093" w:type="dxa"/>
            <w:gridSpan w:val="2"/>
          </w:tcPr>
          <w:p w14:paraId="6E847ED2" w14:textId="77777777" w:rsidR="00DF0C78" w:rsidRPr="0084402E" w:rsidRDefault="00DF0C78" w:rsidP="003F022C">
            <w:pPr>
              <w:rPr>
                <w:rFonts w:ascii="Arial" w:hAnsi="Arial" w:cs="Arial"/>
                <w:b w:val="0"/>
                <w:sz w:val="24"/>
                <w:szCs w:val="24"/>
              </w:rPr>
            </w:pPr>
            <w:r w:rsidRPr="0084402E">
              <w:rPr>
                <w:rFonts w:ascii="Arial" w:hAnsi="Arial" w:cs="Arial"/>
                <w:b w:val="0"/>
                <w:sz w:val="24"/>
                <w:szCs w:val="24"/>
              </w:rPr>
              <w:t>8.-PADRON DE BENEFICIARIOS</w:t>
            </w:r>
          </w:p>
        </w:tc>
        <w:tc>
          <w:tcPr>
            <w:tcW w:w="1984" w:type="dxa"/>
          </w:tcPr>
          <w:p w14:paraId="6C02319A" w14:textId="77777777" w:rsidR="00DF0C78" w:rsidRPr="0084402E" w:rsidRDefault="00DF0C78" w:rsidP="00DF0C7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IEAEY</w:t>
            </w:r>
          </w:p>
        </w:tc>
        <w:tc>
          <w:tcPr>
            <w:tcW w:w="5998" w:type="dxa"/>
          </w:tcPr>
          <w:tbl>
            <w:tblPr>
              <w:tblW w:w="0" w:type="auto"/>
              <w:tblBorders>
                <w:top w:val="nil"/>
                <w:left w:val="nil"/>
                <w:bottom w:val="nil"/>
                <w:right w:val="nil"/>
              </w:tblBorders>
              <w:tblLayout w:type="fixed"/>
              <w:tblLook w:val="0000" w:firstRow="0" w:lastRow="0" w:firstColumn="0" w:lastColumn="0" w:noHBand="0" w:noVBand="0"/>
            </w:tblPr>
            <w:tblGrid>
              <w:gridCol w:w="4832"/>
            </w:tblGrid>
            <w:tr w:rsidR="00DF0C78" w:rsidRPr="0084402E" w14:paraId="4A705E8E" w14:textId="77777777" w:rsidTr="005D193F">
              <w:trPr>
                <w:trHeight w:val="718"/>
              </w:trPr>
              <w:tc>
                <w:tcPr>
                  <w:tcW w:w="4832" w:type="dxa"/>
                </w:tcPr>
                <w:p w14:paraId="2B35CFC4" w14:textId="77777777" w:rsidR="00DF0C78" w:rsidRPr="0084402E" w:rsidRDefault="00DF0C78" w:rsidP="00901926">
                  <w:pPr>
                    <w:pStyle w:val="Default"/>
                    <w:rPr>
                      <w:rFonts w:ascii="Arial" w:hAnsi="Arial" w:cs="Arial"/>
                    </w:rPr>
                  </w:pPr>
                  <w:r w:rsidRPr="0084402E">
                    <w:rPr>
                      <w:rFonts w:ascii="Arial" w:hAnsi="Arial" w:cs="Arial"/>
                    </w:rPr>
                    <w:t xml:space="preserve">Listado de beneficiarios del programa Atención a la Demanda y Modelo Educativo para la Vida y el Trabajo </w:t>
                  </w:r>
                </w:p>
              </w:tc>
            </w:tr>
          </w:tbl>
          <w:p w14:paraId="53E84AF2" w14:textId="77777777" w:rsidR="00DF0C78" w:rsidRPr="0084402E" w:rsidRDefault="00DF0C78" w:rsidP="00901926">
            <w:pPr>
              <w:pStyle w:val="Prrafodelista"/>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DF0C78" w:rsidRPr="0084402E" w14:paraId="23B66985" w14:textId="77777777" w:rsidTr="00901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14:paraId="5E308B51" w14:textId="77777777" w:rsidR="00DF0C78" w:rsidRPr="0084402E" w:rsidRDefault="00DF0C78" w:rsidP="003F022C">
            <w:pPr>
              <w:rPr>
                <w:rFonts w:ascii="Arial" w:hAnsi="Arial" w:cs="Arial"/>
                <w:b w:val="0"/>
                <w:sz w:val="24"/>
                <w:szCs w:val="24"/>
              </w:rPr>
            </w:pPr>
            <w:r w:rsidRPr="0084402E">
              <w:rPr>
                <w:rFonts w:ascii="Arial" w:hAnsi="Arial" w:cs="Arial"/>
                <w:b w:val="0"/>
                <w:sz w:val="24"/>
                <w:szCs w:val="24"/>
              </w:rPr>
              <w:t>9.-INDICADORES</w:t>
            </w:r>
          </w:p>
        </w:tc>
        <w:tc>
          <w:tcPr>
            <w:tcW w:w="1984" w:type="dxa"/>
          </w:tcPr>
          <w:p w14:paraId="075D8243" w14:textId="77777777" w:rsidR="00DF0C78" w:rsidRPr="0084402E" w:rsidRDefault="00DF0C78" w:rsidP="00DF0C78">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402E">
              <w:rPr>
                <w:rFonts w:ascii="Arial" w:hAnsi="Arial" w:cs="Arial"/>
                <w:sz w:val="24"/>
                <w:szCs w:val="24"/>
              </w:rPr>
              <w:t>SFU/SHCP</w:t>
            </w:r>
          </w:p>
        </w:tc>
        <w:tc>
          <w:tcPr>
            <w:tcW w:w="5998" w:type="dxa"/>
          </w:tcPr>
          <w:p w14:paraId="295B0408" w14:textId="77777777" w:rsidR="00DF0C78" w:rsidRPr="0084402E" w:rsidRDefault="00DF0C78" w:rsidP="00901926">
            <w:pPr>
              <w:pStyle w:val="Defaul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402E">
              <w:rPr>
                <w:rFonts w:ascii="Arial" w:hAnsi="Arial" w:cs="Arial"/>
                <w:sz w:val="24"/>
                <w:szCs w:val="24"/>
              </w:rPr>
              <w:t>Reporte de Indicadores en el Sistema de Formato Único del PASH del Primero hasta el Cuarto Trimestre de 2013</w:t>
            </w:r>
          </w:p>
        </w:tc>
      </w:tr>
      <w:tr w:rsidR="00DF0C78" w:rsidRPr="0084402E" w14:paraId="0EBB773F" w14:textId="77777777" w:rsidTr="00901926">
        <w:tc>
          <w:tcPr>
            <w:cnfStyle w:val="001000000000" w:firstRow="0" w:lastRow="0" w:firstColumn="1" w:lastColumn="0" w:oddVBand="0" w:evenVBand="0" w:oddHBand="0" w:evenHBand="0" w:firstRowFirstColumn="0" w:firstRowLastColumn="0" w:lastRowFirstColumn="0" w:lastRowLastColumn="0"/>
            <w:tcW w:w="2093" w:type="dxa"/>
            <w:gridSpan w:val="2"/>
          </w:tcPr>
          <w:p w14:paraId="27FAD927" w14:textId="77777777" w:rsidR="00DF0C78" w:rsidRPr="0084402E" w:rsidRDefault="00DF0C78" w:rsidP="003F022C">
            <w:pPr>
              <w:rPr>
                <w:rFonts w:ascii="Arial" w:hAnsi="Arial" w:cs="Arial"/>
                <w:b w:val="0"/>
                <w:sz w:val="24"/>
                <w:szCs w:val="24"/>
              </w:rPr>
            </w:pPr>
            <w:r w:rsidRPr="0084402E">
              <w:rPr>
                <w:rFonts w:ascii="Arial" w:hAnsi="Arial" w:cs="Arial"/>
                <w:b w:val="0"/>
                <w:sz w:val="24"/>
                <w:szCs w:val="24"/>
              </w:rPr>
              <w:t>078PP Informe trimestral</w:t>
            </w:r>
          </w:p>
        </w:tc>
        <w:tc>
          <w:tcPr>
            <w:tcW w:w="1984" w:type="dxa"/>
          </w:tcPr>
          <w:p w14:paraId="5D696BBB" w14:textId="77777777" w:rsidR="00DF0C78" w:rsidRPr="0084402E" w:rsidRDefault="00DF0C78" w:rsidP="00DF0C78">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t>IEAEY, STGPE</w:t>
            </w:r>
          </w:p>
        </w:tc>
        <w:tc>
          <w:tcPr>
            <w:tcW w:w="5998" w:type="dxa"/>
          </w:tcPr>
          <w:p w14:paraId="3056D879" w14:textId="77777777" w:rsidR="00DF0C78" w:rsidRPr="0084402E" w:rsidRDefault="00DF0C78" w:rsidP="00901926">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bCs/>
                <w:sz w:val="24"/>
                <w:szCs w:val="24"/>
              </w:rPr>
              <w:t>SEGUIMIENTO A INDICADORES DE DESEMPEÑO 2014. Del Primero al Cuarto Trimestre.</w:t>
            </w:r>
            <w:r w:rsidRPr="0084402E">
              <w:rPr>
                <w:rFonts w:ascii="Arial" w:hAnsi="Arial" w:cs="Arial"/>
                <w:sz w:val="24"/>
                <w:szCs w:val="24"/>
              </w:rPr>
              <w:t xml:space="preserve"> </w:t>
            </w:r>
            <w:r w:rsidRPr="0084402E">
              <w:rPr>
                <w:rFonts w:ascii="Arial" w:hAnsi="Arial" w:cs="Arial"/>
                <w:bCs/>
                <w:sz w:val="24"/>
                <w:szCs w:val="24"/>
              </w:rPr>
              <w:t>Programa Presupuestario: 78 Rezago Educativo</w:t>
            </w:r>
          </w:p>
        </w:tc>
      </w:tr>
      <w:tr w:rsidR="00DF0C78" w:rsidRPr="0084402E" w14:paraId="435B9F5E" w14:textId="77777777" w:rsidTr="00901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14:paraId="48DA64D5" w14:textId="77777777" w:rsidR="00DF0C78" w:rsidRPr="0084402E" w:rsidRDefault="00DF0C78" w:rsidP="003F022C">
            <w:pPr>
              <w:rPr>
                <w:rFonts w:ascii="Arial" w:hAnsi="Arial" w:cs="Arial"/>
                <w:b w:val="0"/>
                <w:sz w:val="24"/>
                <w:szCs w:val="24"/>
              </w:rPr>
            </w:pPr>
            <w:r w:rsidRPr="0084402E">
              <w:rPr>
                <w:rFonts w:ascii="Arial" w:hAnsi="Arial" w:cs="Arial"/>
                <w:b w:val="0"/>
                <w:sz w:val="24"/>
                <w:szCs w:val="24"/>
              </w:rPr>
              <w:t xml:space="preserve">11.2.-LEY </w:t>
            </w:r>
            <w:r w:rsidRPr="0084402E">
              <w:rPr>
                <w:rFonts w:ascii="Arial" w:hAnsi="Arial" w:cs="Arial"/>
                <w:b w:val="0"/>
                <w:sz w:val="24"/>
                <w:szCs w:val="24"/>
              </w:rPr>
              <w:lastRenderedPageBreak/>
              <w:t>ORGANICA DE LA ADMINISTRACION PUBLICA ESTATAL</w:t>
            </w:r>
          </w:p>
        </w:tc>
        <w:tc>
          <w:tcPr>
            <w:tcW w:w="1984" w:type="dxa"/>
          </w:tcPr>
          <w:p w14:paraId="7D5B1B03" w14:textId="77777777" w:rsidR="00DF0C78" w:rsidRPr="0084402E" w:rsidRDefault="00DF0C78" w:rsidP="00DF0C7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84402E">
              <w:rPr>
                <w:rFonts w:ascii="Arial" w:hAnsi="Arial" w:cs="Arial"/>
                <w:sz w:val="24"/>
                <w:szCs w:val="24"/>
              </w:rPr>
              <w:lastRenderedPageBreak/>
              <w:t xml:space="preserve">Gobierno del </w:t>
            </w:r>
            <w:r w:rsidRPr="0084402E">
              <w:rPr>
                <w:rFonts w:ascii="Arial" w:hAnsi="Arial" w:cs="Arial"/>
                <w:sz w:val="24"/>
                <w:szCs w:val="24"/>
              </w:rPr>
              <w:lastRenderedPageBreak/>
              <w:t>Estado de Yucatán</w:t>
            </w:r>
          </w:p>
        </w:tc>
        <w:tc>
          <w:tcPr>
            <w:tcW w:w="5998" w:type="dxa"/>
          </w:tcPr>
          <w:p w14:paraId="2B2847EA" w14:textId="77777777" w:rsidR="00DF0C78" w:rsidRPr="0084402E" w:rsidRDefault="00DF0C78" w:rsidP="009019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lastRenderedPageBreak/>
              <w:t xml:space="preserve">Ley Orgánica de la Administración Pública del Estado </w:t>
            </w:r>
            <w:r w:rsidRPr="0084402E">
              <w:rPr>
                <w:rFonts w:ascii="Arial" w:hAnsi="Arial" w:cs="Arial"/>
                <w:bCs/>
                <w:sz w:val="24"/>
                <w:szCs w:val="24"/>
              </w:rPr>
              <w:lastRenderedPageBreak/>
              <w:t>de Yucatán.</w:t>
            </w:r>
          </w:p>
        </w:tc>
      </w:tr>
      <w:tr w:rsidR="00DF0C78" w:rsidRPr="0084402E" w14:paraId="3F81B129" w14:textId="77777777" w:rsidTr="00901926">
        <w:tc>
          <w:tcPr>
            <w:cnfStyle w:val="001000000000" w:firstRow="0" w:lastRow="0" w:firstColumn="1" w:lastColumn="0" w:oddVBand="0" w:evenVBand="0" w:oddHBand="0" w:evenHBand="0" w:firstRowFirstColumn="0" w:firstRowLastColumn="0" w:lastRowFirstColumn="0" w:lastRowLastColumn="0"/>
            <w:tcW w:w="2093" w:type="dxa"/>
            <w:gridSpan w:val="2"/>
          </w:tcPr>
          <w:p w14:paraId="2CFDBE4E" w14:textId="77777777" w:rsidR="00DF0C78" w:rsidRPr="0084402E" w:rsidRDefault="00DF0C78" w:rsidP="003F022C">
            <w:pPr>
              <w:rPr>
                <w:rFonts w:ascii="Arial" w:hAnsi="Arial" w:cs="Arial"/>
                <w:b w:val="0"/>
                <w:sz w:val="24"/>
                <w:szCs w:val="24"/>
              </w:rPr>
            </w:pPr>
            <w:r w:rsidRPr="0084402E">
              <w:rPr>
                <w:rFonts w:ascii="Arial" w:hAnsi="Arial" w:cs="Arial"/>
                <w:b w:val="0"/>
                <w:sz w:val="24"/>
                <w:szCs w:val="24"/>
              </w:rPr>
              <w:lastRenderedPageBreak/>
              <w:t>11.3.-Reglamento_IEAEY001</w:t>
            </w:r>
          </w:p>
        </w:tc>
        <w:tc>
          <w:tcPr>
            <w:tcW w:w="1984" w:type="dxa"/>
          </w:tcPr>
          <w:p w14:paraId="1D7A720E" w14:textId="77777777" w:rsidR="00DF0C78" w:rsidRPr="0084402E" w:rsidRDefault="00DF0C78" w:rsidP="00DF0C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t>IEAEY</w:t>
            </w:r>
          </w:p>
        </w:tc>
        <w:tc>
          <w:tcPr>
            <w:tcW w:w="5998" w:type="dxa"/>
          </w:tcPr>
          <w:p w14:paraId="7D765401" w14:textId="77777777" w:rsidR="00DF0C78" w:rsidRPr="0084402E" w:rsidRDefault="00DF0C78" w:rsidP="009019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t>Reglamento Interior del Instituto de Educación para los Adultos del Estado de Yucatán</w:t>
            </w:r>
          </w:p>
        </w:tc>
      </w:tr>
      <w:tr w:rsidR="00DF0C78" w:rsidRPr="0084402E" w14:paraId="220CFE92" w14:textId="77777777" w:rsidTr="00901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14:paraId="6D76430A" w14:textId="77777777" w:rsidR="00DF0C78" w:rsidRPr="0084402E" w:rsidRDefault="00DF0C78" w:rsidP="003F022C">
            <w:pPr>
              <w:rPr>
                <w:rFonts w:ascii="Arial" w:hAnsi="Arial" w:cs="Arial"/>
                <w:b w:val="0"/>
                <w:sz w:val="24"/>
                <w:szCs w:val="24"/>
              </w:rPr>
            </w:pPr>
            <w:r w:rsidRPr="0084402E">
              <w:rPr>
                <w:rFonts w:ascii="Arial" w:hAnsi="Arial" w:cs="Arial"/>
                <w:b w:val="0"/>
                <w:sz w:val="24"/>
                <w:szCs w:val="24"/>
              </w:rPr>
              <w:t>Decreto que crea al IEAEY</w:t>
            </w:r>
          </w:p>
        </w:tc>
        <w:tc>
          <w:tcPr>
            <w:tcW w:w="1984" w:type="dxa"/>
          </w:tcPr>
          <w:p w14:paraId="6CF6CBF8" w14:textId="77777777" w:rsidR="00DF0C78" w:rsidRPr="0084402E" w:rsidRDefault="00DF0C78" w:rsidP="00DF0C78">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t>IEAEY</w:t>
            </w:r>
          </w:p>
        </w:tc>
        <w:tc>
          <w:tcPr>
            <w:tcW w:w="5998" w:type="dxa"/>
          </w:tcPr>
          <w:p w14:paraId="52FBD451" w14:textId="77777777" w:rsidR="00DF0C78" w:rsidRPr="0084402E" w:rsidRDefault="00DF0C78" w:rsidP="00901926">
            <w:pPr>
              <w:pStyle w:val="Default"/>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t>CONVENIO de Coordinación para la descentralización de los servicios de educación para adultos que celebran las secretarías de Educación Pública, de Hacienda y Crédito Público, de Contraloría y Desarrollo Administrativo, el Instituto Nacional para la Educación de los Adultos y el Estado de Yucatán, con la participación de la Federación de Sindicatos de Trabajadores al Servicio del Estado, y el Sindicato Único de Trabajadores del Instituto Nacional para la Educación de los Adultos.</w:t>
            </w:r>
          </w:p>
        </w:tc>
      </w:tr>
      <w:tr w:rsidR="00DF0C78" w:rsidRPr="0084402E" w14:paraId="645669ED" w14:textId="77777777" w:rsidTr="00901926">
        <w:tc>
          <w:tcPr>
            <w:cnfStyle w:val="001000000000" w:firstRow="0" w:lastRow="0" w:firstColumn="1" w:lastColumn="0" w:oddVBand="0" w:evenVBand="0" w:oddHBand="0" w:evenHBand="0" w:firstRowFirstColumn="0" w:firstRowLastColumn="0" w:lastRowFirstColumn="0" w:lastRowLastColumn="0"/>
            <w:tcW w:w="2093" w:type="dxa"/>
            <w:gridSpan w:val="2"/>
          </w:tcPr>
          <w:p w14:paraId="678EE407" w14:textId="77777777" w:rsidR="00DF0C78" w:rsidRPr="0084402E" w:rsidRDefault="00DF0C78" w:rsidP="003F022C">
            <w:pPr>
              <w:rPr>
                <w:rFonts w:ascii="Arial" w:hAnsi="Arial" w:cs="Arial"/>
                <w:b w:val="0"/>
                <w:sz w:val="24"/>
                <w:szCs w:val="24"/>
              </w:rPr>
            </w:pPr>
            <w:r w:rsidRPr="0084402E">
              <w:rPr>
                <w:rFonts w:ascii="Arial" w:hAnsi="Arial" w:cs="Arial"/>
                <w:b w:val="0"/>
                <w:sz w:val="24"/>
                <w:szCs w:val="24"/>
              </w:rPr>
              <w:t>Manual de usuario v2.0</w:t>
            </w:r>
          </w:p>
        </w:tc>
        <w:tc>
          <w:tcPr>
            <w:tcW w:w="1984" w:type="dxa"/>
          </w:tcPr>
          <w:p w14:paraId="6FCEDB33" w14:textId="77777777" w:rsidR="00DF0C78" w:rsidRPr="0084402E" w:rsidRDefault="00DF0C78" w:rsidP="00DF0C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t>SHCP</w:t>
            </w:r>
          </w:p>
        </w:tc>
        <w:tc>
          <w:tcPr>
            <w:tcW w:w="5998" w:type="dxa"/>
          </w:tcPr>
          <w:p w14:paraId="6DBC1AA0" w14:textId="0F040493" w:rsidR="00DF0C78" w:rsidRPr="0084402E" w:rsidRDefault="00DF0C78" w:rsidP="009019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t>SISTEMA DE INFORMACIÓN SOBRE LA APLICACIÓN</w:t>
            </w:r>
            <w:r w:rsidR="009C5A18" w:rsidRPr="0084402E">
              <w:rPr>
                <w:rFonts w:ascii="Arial" w:hAnsi="Arial" w:cs="Arial"/>
                <w:bCs/>
                <w:sz w:val="24"/>
                <w:szCs w:val="24"/>
              </w:rPr>
              <w:t xml:space="preserve"> </w:t>
            </w:r>
            <w:r w:rsidRPr="0084402E">
              <w:rPr>
                <w:rFonts w:ascii="Arial" w:hAnsi="Arial" w:cs="Arial"/>
                <w:bCs/>
                <w:sz w:val="24"/>
                <w:szCs w:val="24"/>
              </w:rPr>
              <w:t>Y RESULTADOS DEL GASTO FEDERALIZADO</w:t>
            </w:r>
            <w:r w:rsidR="00B01E67" w:rsidRPr="0084402E">
              <w:rPr>
                <w:rFonts w:ascii="Arial" w:hAnsi="Arial" w:cs="Arial"/>
                <w:bCs/>
                <w:sz w:val="24"/>
                <w:szCs w:val="24"/>
              </w:rPr>
              <w:t xml:space="preserve"> </w:t>
            </w:r>
            <w:r w:rsidRPr="0084402E">
              <w:rPr>
                <w:rFonts w:ascii="Arial" w:hAnsi="Arial" w:cs="Arial"/>
                <w:bCs/>
                <w:sz w:val="24"/>
                <w:szCs w:val="24"/>
              </w:rPr>
              <w:t xml:space="preserve">SISTEMA DEL FORMATO ÚNICO </w:t>
            </w:r>
            <w:r w:rsidR="00901926" w:rsidRPr="0084402E">
              <w:rPr>
                <w:rFonts w:ascii="Arial" w:hAnsi="Arial" w:cs="Arial"/>
                <w:bCs/>
                <w:sz w:val="24"/>
                <w:szCs w:val="24"/>
              </w:rPr>
              <w:t>(</w:t>
            </w:r>
            <w:r w:rsidRPr="0084402E">
              <w:rPr>
                <w:rFonts w:ascii="Arial" w:hAnsi="Arial" w:cs="Arial"/>
                <w:bCs/>
                <w:sz w:val="24"/>
                <w:szCs w:val="24"/>
              </w:rPr>
              <w:t>SFU</w:t>
            </w:r>
            <w:r w:rsidR="00901926" w:rsidRPr="0084402E">
              <w:rPr>
                <w:rFonts w:ascii="Arial" w:hAnsi="Arial" w:cs="Arial"/>
                <w:bCs/>
                <w:sz w:val="24"/>
                <w:szCs w:val="24"/>
              </w:rPr>
              <w:t>)</w:t>
            </w:r>
            <w:r w:rsidRPr="0084402E">
              <w:rPr>
                <w:rFonts w:ascii="Arial" w:hAnsi="Arial" w:cs="Arial"/>
                <w:sz w:val="24"/>
                <w:szCs w:val="24"/>
              </w:rPr>
              <w:t xml:space="preserve">Manual </w:t>
            </w:r>
            <w:r w:rsidR="00901926" w:rsidRPr="0084402E">
              <w:rPr>
                <w:rFonts w:ascii="Arial" w:hAnsi="Arial" w:cs="Arial"/>
                <w:sz w:val="24"/>
                <w:szCs w:val="24"/>
              </w:rPr>
              <w:t xml:space="preserve">Del </w:t>
            </w:r>
            <w:r w:rsidRPr="0084402E">
              <w:rPr>
                <w:rFonts w:ascii="Arial" w:hAnsi="Arial" w:cs="Arial"/>
                <w:sz w:val="24"/>
                <w:szCs w:val="24"/>
              </w:rPr>
              <w:t>Usuario</w:t>
            </w:r>
          </w:p>
        </w:tc>
      </w:tr>
      <w:tr w:rsidR="00DF0C78" w:rsidRPr="0084402E" w14:paraId="1429EFAD" w14:textId="77777777" w:rsidTr="00901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14:paraId="622AA866" w14:textId="77777777" w:rsidR="00DF0C78" w:rsidRPr="0084402E" w:rsidRDefault="00765309" w:rsidP="003F022C">
            <w:pPr>
              <w:rPr>
                <w:rFonts w:ascii="Arial" w:hAnsi="Arial" w:cs="Arial"/>
                <w:b w:val="0"/>
                <w:sz w:val="24"/>
                <w:szCs w:val="24"/>
              </w:rPr>
            </w:pPr>
            <w:r w:rsidRPr="0084402E">
              <w:rPr>
                <w:rFonts w:ascii="Arial" w:hAnsi="Arial" w:cs="Arial"/>
                <w:b w:val="0"/>
                <w:sz w:val="24"/>
                <w:szCs w:val="24"/>
              </w:rPr>
              <w:t>PASH-guia_gestion_proyectos</w:t>
            </w:r>
          </w:p>
        </w:tc>
        <w:tc>
          <w:tcPr>
            <w:tcW w:w="1984" w:type="dxa"/>
          </w:tcPr>
          <w:p w14:paraId="198B4233" w14:textId="77777777" w:rsidR="00DF0C78" w:rsidRPr="0084402E" w:rsidRDefault="00765309" w:rsidP="00DF0C7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84402E">
              <w:rPr>
                <w:rFonts w:ascii="Arial" w:hAnsi="Arial" w:cs="Arial"/>
                <w:color w:val="000000"/>
                <w:sz w:val="24"/>
                <w:szCs w:val="24"/>
              </w:rPr>
              <w:t>SHCP</w:t>
            </w:r>
          </w:p>
        </w:tc>
        <w:tc>
          <w:tcPr>
            <w:tcW w:w="5998" w:type="dxa"/>
          </w:tcPr>
          <w:p w14:paraId="0E775CA5" w14:textId="77777777" w:rsidR="00DF0C78" w:rsidRPr="0084402E" w:rsidRDefault="00DF0C78" w:rsidP="009019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84402E">
              <w:rPr>
                <w:rFonts w:ascii="Arial" w:hAnsi="Arial" w:cs="Arial"/>
                <w:color w:val="000000"/>
                <w:sz w:val="24"/>
                <w:szCs w:val="24"/>
              </w:rPr>
              <w:t xml:space="preserve"> Guía Rápida Para la operación del Sistema de Información sobre la Aplicación y Resultados del Gasto Federalizado </w:t>
            </w:r>
            <w:r w:rsidRPr="0084402E">
              <w:rPr>
                <w:rFonts w:ascii="Arial" w:hAnsi="Arial" w:cs="Arial"/>
                <w:bCs/>
                <w:sz w:val="24"/>
                <w:szCs w:val="24"/>
              </w:rPr>
              <w:t xml:space="preserve">Sistema de Formato Único. </w:t>
            </w:r>
            <w:r w:rsidRPr="0084402E">
              <w:rPr>
                <w:rFonts w:ascii="Arial" w:hAnsi="Arial" w:cs="Arial"/>
                <w:color w:val="000000"/>
                <w:sz w:val="24"/>
                <w:szCs w:val="24"/>
              </w:rPr>
              <w:t xml:space="preserve"> Subsecretaría de Egresos Dirección General de Tecnologías y Seguridad de la Información</w:t>
            </w:r>
          </w:p>
        </w:tc>
      </w:tr>
      <w:tr w:rsidR="00DF0C78" w:rsidRPr="0084402E" w14:paraId="0872B8A6" w14:textId="77777777" w:rsidTr="00901926">
        <w:tc>
          <w:tcPr>
            <w:cnfStyle w:val="001000000000" w:firstRow="0" w:lastRow="0" w:firstColumn="1" w:lastColumn="0" w:oddVBand="0" w:evenVBand="0" w:oddHBand="0" w:evenHBand="0" w:firstRowFirstColumn="0" w:firstRowLastColumn="0" w:lastRowFirstColumn="0" w:lastRowLastColumn="0"/>
            <w:tcW w:w="2093" w:type="dxa"/>
            <w:gridSpan w:val="2"/>
          </w:tcPr>
          <w:p w14:paraId="27DC6923" w14:textId="77777777" w:rsidR="00DF0C78" w:rsidRPr="0084402E" w:rsidRDefault="00901926" w:rsidP="003F022C">
            <w:pPr>
              <w:rPr>
                <w:rFonts w:ascii="Arial" w:hAnsi="Arial" w:cs="Arial"/>
                <w:b w:val="0"/>
                <w:sz w:val="24"/>
                <w:szCs w:val="24"/>
              </w:rPr>
            </w:pPr>
            <w:r w:rsidRPr="0084402E">
              <w:rPr>
                <w:rFonts w:ascii="Arial" w:hAnsi="Arial" w:cs="Arial"/>
                <w:b w:val="0"/>
                <w:sz w:val="24"/>
                <w:szCs w:val="24"/>
              </w:rPr>
              <w:t>GUÍA PARA LA CAPTURA DE INDICADORES DE LOS PP 2014</w:t>
            </w:r>
          </w:p>
        </w:tc>
        <w:tc>
          <w:tcPr>
            <w:tcW w:w="1984" w:type="dxa"/>
          </w:tcPr>
          <w:p w14:paraId="4DBA1A69" w14:textId="77777777" w:rsidR="00DF0C78" w:rsidRPr="0084402E" w:rsidRDefault="00901926" w:rsidP="00DF0C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84402E">
              <w:rPr>
                <w:rFonts w:ascii="Arial" w:hAnsi="Arial" w:cs="Arial"/>
                <w:sz w:val="24"/>
                <w:szCs w:val="24"/>
              </w:rPr>
              <w:t>STGPE</w:t>
            </w:r>
          </w:p>
        </w:tc>
        <w:tc>
          <w:tcPr>
            <w:tcW w:w="5998" w:type="dxa"/>
          </w:tcPr>
          <w:p w14:paraId="77941EE9" w14:textId="77777777" w:rsidR="00DF0C78" w:rsidRPr="0084402E" w:rsidRDefault="00901926" w:rsidP="009019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84402E">
              <w:rPr>
                <w:rFonts w:ascii="Arial" w:hAnsi="Arial" w:cs="Arial"/>
                <w:bCs/>
                <w:color w:val="000000"/>
                <w:sz w:val="24"/>
                <w:szCs w:val="24"/>
              </w:rPr>
              <w:t>Guía para la captura de indicadores de los programas presupuestarios de la estructura funcional programática del presupuesto 2014</w:t>
            </w:r>
          </w:p>
        </w:tc>
      </w:tr>
      <w:tr w:rsidR="00DF0C78" w:rsidRPr="0084402E" w14:paraId="3AC862AC" w14:textId="77777777" w:rsidTr="00901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14:paraId="34227047" w14:textId="77777777" w:rsidR="00DF0C78" w:rsidRPr="0084402E" w:rsidRDefault="00901926" w:rsidP="003F022C">
            <w:pPr>
              <w:rPr>
                <w:rFonts w:ascii="Arial" w:hAnsi="Arial" w:cs="Arial"/>
                <w:b w:val="0"/>
                <w:sz w:val="24"/>
                <w:szCs w:val="24"/>
              </w:rPr>
            </w:pPr>
            <w:r w:rsidRPr="0084402E">
              <w:rPr>
                <w:rFonts w:ascii="Arial" w:hAnsi="Arial" w:cs="Arial"/>
                <w:b w:val="0"/>
                <w:sz w:val="24"/>
                <w:szCs w:val="24"/>
              </w:rPr>
              <w:t>Lineamientos Generales del SIGO2015.PDF</w:t>
            </w:r>
          </w:p>
        </w:tc>
        <w:tc>
          <w:tcPr>
            <w:tcW w:w="1984" w:type="dxa"/>
          </w:tcPr>
          <w:p w14:paraId="283A2192" w14:textId="77777777" w:rsidR="00DF0C78" w:rsidRPr="0084402E" w:rsidRDefault="00901926" w:rsidP="00DF0C7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84402E">
              <w:rPr>
                <w:rFonts w:ascii="Arial" w:hAnsi="Arial" w:cs="Arial"/>
                <w:sz w:val="24"/>
                <w:szCs w:val="24"/>
              </w:rPr>
              <w:t>STGPE</w:t>
            </w:r>
          </w:p>
        </w:tc>
        <w:tc>
          <w:tcPr>
            <w:tcW w:w="5998" w:type="dxa"/>
          </w:tcPr>
          <w:p w14:paraId="5926A658" w14:textId="77777777" w:rsidR="00DF0C78" w:rsidRPr="0084402E" w:rsidRDefault="00DF0C78" w:rsidP="0090192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84402E">
              <w:rPr>
                <w:rFonts w:ascii="Arial" w:hAnsi="Arial" w:cs="Arial"/>
                <w:color w:val="000000"/>
                <w:sz w:val="24"/>
                <w:szCs w:val="24"/>
              </w:rPr>
              <w:t>Sistema de Seguimiento a Gabinete Sectorizado e Informe de Gobierno (SIGO) Lineamientos Generales 2015</w:t>
            </w:r>
          </w:p>
        </w:tc>
      </w:tr>
      <w:tr w:rsidR="00DF0C78" w:rsidRPr="0084402E" w14:paraId="43B24433" w14:textId="77777777" w:rsidTr="00901926">
        <w:tc>
          <w:tcPr>
            <w:cnfStyle w:val="001000000000" w:firstRow="0" w:lastRow="0" w:firstColumn="1" w:lastColumn="0" w:oddVBand="0" w:evenVBand="0" w:oddHBand="0" w:evenHBand="0" w:firstRowFirstColumn="0" w:firstRowLastColumn="0" w:lastRowFirstColumn="0" w:lastRowLastColumn="0"/>
            <w:tcW w:w="2093" w:type="dxa"/>
            <w:gridSpan w:val="2"/>
          </w:tcPr>
          <w:p w14:paraId="347E3F1F" w14:textId="77777777" w:rsidR="00DF0C78" w:rsidRPr="0084402E" w:rsidRDefault="00901926" w:rsidP="003F022C">
            <w:pPr>
              <w:rPr>
                <w:rFonts w:ascii="Arial" w:hAnsi="Arial" w:cs="Arial"/>
                <w:b w:val="0"/>
                <w:sz w:val="24"/>
                <w:szCs w:val="24"/>
              </w:rPr>
            </w:pPr>
            <w:r w:rsidRPr="0084402E">
              <w:rPr>
                <w:rFonts w:ascii="Arial" w:hAnsi="Arial" w:cs="Arial"/>
                <w:b w:val="0"/>
                <w:sz w:val="24"/>
                <w:szCs w:val="24"/>
              </w:rPr>
              <w:t>SIGO_metas</w:t>
            </w:r>
          </w:p>
        </w:tc>
        <w:tc>
          <w:tcPr>
            <w:tcW w:w="1984" w:type="dxa"/>
          </w:tcPr>
          <w:p w14:paraId="6A484B8C" w14:textId="77777777" w:rsidR="00DF0C78" w:rsidRPr="0084402E" w:rsidRDefault="00901926" w:rsidP="00DF0C7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STGPE</w:t>
            </w:r>
          </w:p>
        </w:tc>
        <w:tc>
          <w:tcPr>
            <w:tcW w:w="5998" w:type="dxa"/>
          </w:tcPr>
          <w:p w14:paraId="7287180B" w14:textId="77777777" w:rsidR="00DF0C78" w:rsidRPr="0084402E" w:rsidRDefault="00901926" w:rsidP="0090192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 xml:space="preserve">Manual del </w:t>
            </w:r>
            <w:r w:rsidR="00DF0C78" w:rsidRPr="0084402E">
              <w:rPr>
                <w:rFonts w:ascii="Arial" w:hAnsi="Arial" w:cs="Arial"/>
                <w:sz w:val="24"/>
                <w:szCs w:val="24"/>
              </w:rPr>
              <w:t xml:space="preserve">Sistema de Seguimiento a  Gabinete </w:t>
            </w:r>
            <w:r w:rsidR="00DF0C78" w:rsidRPr="0084402E">
              <w:rPr>
                <w:rFonts w:ascii="Arial" w:hAnsi="Arial" w:cs="Arial"/>
                <w:sz w:val="24"/>
                <w:szCs w:val="24"/>
              </w:rPr>
              <w:lastRenderedPageBreak/>
              <w:t>Sectorizado e Informe de Gobierno</w:t>
            </w:r>
          </w:p>
        </w:tc>
      </w:tr>
      <w:tr w:rsidR="00DF0C78" w:rsidRPr="0084402E" w14:paraId="54B5CE5E" w14:textId="77777777" w:rsidTr="00901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14:paraId="28EF2914" w14:textId="77777777" w:rsidR="00DF0C78" w:rsidRPr="0084402E" w:rsidRDefault="00901926" w:rsidP="003F022C">
            <w:pPr>
              <w:rPr>
                <w:rFonts w:ascii="Arial" w:hAnsi="Arial" w:cs="Arial"/>
                <w:b w:val="0"/>
                <w:sz w:val="24"/>
                <w:szCs w:val="24"/>
              </w:rPr>
            </w:pPr>
            <w:r w:rsidRPr="0084402E">
              <w:rPr>
                <w:rFonts w:ascii="Arial" w:hAnsi="Arial" w:cs="Arial"/>
                <w:b w:val="0"/>
                <w:sz w:val="24"/>
                <w:szCs w:val="24"/>
              </w:rPr>
              <w:lastRenderedPageBreak/>
              <w:t>15.-Recibos de ministraciones</w:t>
            </w:r>
          </w:p>
        </w:tc>
        <w:tc>
          <w:tcPr>
            <w:tcW w:w="1984" w:type="dxa"/>
          </w:tcPr>
          <w:p w14:paraId="7A07A1DA" w14:textId="77777777" w:rsidR="00DF0C78" w:rsidRPr="0084402E" w:rsidRDefault="00DF0C78" w:rsidP="00DF0C7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998" w:type="dxa"/>
          </w:tcPr>
          <w:p w14:paraId="11D9343D" w14:textId="77777777" w:rsidR="00DF0C78" w:rsidRPr="0084402E" w:rsidRDefault="00901926" w:rsidP="0090192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402E">
              <w:rPr>
                <w:rFonts w:ascii="Arial" w:hAnsi="Arial" w:cs="Arial"/>
                <w:sz w:val="24"/>
                <w:szCs w:val="24"/>
              </w:rPr>
              <w:t>Recibos de ministraciones del FAETA al IEAEY</w:t>
            </w:r>
            <w:r w:rsidR="00DF0C78" w:rsidRPr="0084402E">
              <w:rPr>
                <w:rFonts w:ascii="Arial" w:hAnsi="Arial" w:cs="Arial"/>
                <w:sz w:val="24"/>
                <w:szCs w:val="24"/>
              </w:rPr>
              <w:t>.</w:t>
            </w:r>
          </w:p>
        </w:tc>
      </w:tr>
      <w:tr w:rsidR="00DF0C78" w:rsidRPr="0084402E" w14:paraId="6E236605" w14:textId="77777777" w:rsidTr="00901926">
        <w:tc>
          <w:tcPr>
            <w:cnfStyle w:val="001000000000" w:firstRow="0" w:lastRow="0" w:firstColumn="1" w:lastColumn="0" w:oddVBand="0" w:evenVBand="0" w:oddHBand="0" w:evenHBand="0" w:firstRowFirstColumn="0" w:firstRowLastColumn="0" w:lastRowFirstColumn="0" w:lastRowLastColumn="0"/>
            <w:tcW w:w="2093" w:type="dxa"/>
            <w:gridSpan w:val="2"/>
          </w:tcPr>
          <w:p w14:paraId="5DBACD8E" w14:textId="77777777" w:rsidR="00DF0C78" w:rsidRPr="0084402E" w:rsidRDefault="00901926" w:rsidP="003F022C">
            <w:pPr>
              <w:rPr>
                <w:rFonts w:ascii="Arial" w:hAnsi="Arial" w:cs="Arial"/>
                <w:b w:val="0"/>
                <w:sz w:val="24"/>
                <w:szCs w:val="24"/>
              </w:rPr>
            </w:pPr>
            <w:r w:rsidRPr="0084402E">
              <w:rPr>
                <w:rFonts w:ascii="Arial" w:hAnsi="Arial" w:cs="Arial"/>
                <w:b w:val="0"/>
                <w:sz w:val="24"/>
                <w:szCs w:val="24"/>
              </w:rPr>
              <w:t>LEY DE COORDINACION FISCAL</w:t>
            </w:r>
          </w:p>
        </w:tc>
        <w:tc>
          <w:tcPr>
            <w:tcW w:w="1984" w:type="dxa"/>
          </w:tcPr>
          <w:p w14:paraId="626C9F85" w14:textId="77777777" w:rsidR="00901926" w:rsidRPr="0084402E" w:rsidRDefault="00901926" w:rsidP="00DF0C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84402E">
              <w:rPr>
                <w:rFonts w:ascii="Arial" w:hAnsi="Arial" w:cs="Arial"/>
                <w:bCs/>
                <w:color w:val="000000"/>
                <w:sz w:val="24"/>
                <w:szCs w:val="24"/>
              </w:rPr>
              <w:t>Gobierno Federal SHCP</w:t>
            </w:r>
          </w:p>
        </w:tc>
        <w:tc>
          <w:tcPr>
            <w:tcW w:w="5998" w:type="dxa"/>
          </w:tcPr>
          <w:p w14:paraId="7C309079" w14:textId="77777777" w:rsidR="00DF0C78" w:rsidRPr="0084402E" w:rsidRDefault="00776EB2" w:rsidP="0090192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84402E">
              <w:rPr>
                <w:rFonts w:ascii="Arial" w:hAnsi="Arial" w:cs="Arial"/>
                <w:bCs/>
                <w:color w:val="000000"/>
                <w:sz w:val="24"/>
                <w:szCs w:val="24"/>
              </w:rPr>
              <w:t>Ley d</w:t>
            </w:r>
            <w:r w:rsidR="00901926" w:rsidRPr="0084402E">
              <w:rPr>
                <w:rFonts w:ascii="Arial" w:hAnsi="Arial" w:cs="Arial"/>
                <w:bCs/>
                <w:color w:val="000000"/>
                <w:sz w:val="24"/>
                <w:szCs w:val="24"/>
              </w:rPr>
              <w:t>e Coordinación Fiscal</w:t>
            </w:r>
          </w:p>
        </w:tc>
      </w:tr>
      <w:tr w:rsidR="00DF0C78" w:rsidRPr="0084402E" w14:paraId="3F9D717D" w14:textId="77777777" w:rsidTr="00901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14:paraId="5F0DB597" w14:textId="77777777" w:rsidR="00DF0C78" w:rsidRPr="0084402E" w:rsidRDefault="00901926" w:rsidP="00B01E67">
            <w:pPr>
              <w:jc w:val="both"/>
              <w:rPr>
                <w:rFonts w:ascii="Arial" w:hAnsi="Arial" w:cs="Arial"/>
                <w:b w:val="0"/>
                <w:sz w:val="24"/>
                <w:szCs w:val="24"/>
              </w:rPr>
            </w:pPr>
            <w:r w:rsidRPr="0084402E">
              <w:rPr>
                <w:rFonts w:ascii="Arial" w:hAnsi="Arial" w:cs="Arial"/>
                <w:b w:val="0"/>
                <w:sz w:val="24"/>
                <w:szCs w:val="24"/>
              </w:rPr>
              <w:t>LGCG</w:t>
            </w:r>
          </w:p>
        </w:tc>
        <w:tc>
          <w:tcPr>
            <w:tcW w:w="1984" w:type="dxa"/>
          </w:tcPr>
          <w:p w14:paraId="2BFC51BA" w14:textId="77777777" w:rsidR="00DF0C78" w:rsidRPr="0084402E" w:rsidRDefault="00901926" w:rsidP="00B01E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4"/>
                <w:szCs w:val="24"/>
              </w:rPr>
            </w:pPr>
            <w:r w:rsidRPr="0084402E">
              <w:rPr>
                <w:rFonts w:ascii="Arial" w:hAnsi="Arial" w:cs="Arial"/>
                <w:bCs/>
                <w:color w:val="000000"/>
                <w:sz w:val="24"/>
                <w:szCs w:val="24"/>
              </w:rPr>
              <w:t>Gobierno Federal SHCP</w:t>
            </w:r>
          </w:p>
        </w:tc>
        <w:tc>
          <w:tcPr>
            <w:tcW w:w="5998" w:type="dxa"/>
          </w:tcPr>
          <w:p w14:paraId="09D80751" w14:textId="77777777" w:rsidR="00DF0C78" w:rsidRPr="0084402E" w:rsidRDefault="00776EB2" w:rsidP="00B01E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84402E">
              <w:rPr>
                <w:rFonts w:ascii="Arial" w:hAnsi="Arial" w:cs="Arial"/>
                <w:bCs/>
                <w:color w:val="000000"/>
                <w:sz w:val="24"/>
                <w:szCs w:val="24"/>
              </w:rPr>
              <w:t>Ley General d</w:t>
            </w:r>
            <w:r w:rsidR="00901926" w:rsidRPr="0084402E">
              <w:rPr>
                <w:rFonts w:ascii="Arial" w:hAnsi="Arial" w:cs="Arial"/>
                <w:bCs/>
                <w:color w:val="000000"/>
                <w:sz w:val="24"/>
                <w:szCs w:val="24"/>
              </w:rPr>
              <w:t>e Contabilidad Gubernamental</w:t>
            </w:r>
          </w:p>
        </w:tc>
      </w:tr>
      <w:tr w:rsidR="00901926" w:rsidRPr="0084402E" w14:paraId="1D442A0B" w14:textId="77777777" w:rsidTr="00901926">
        <w:tc>
          <w:tcPr>
            <w:cnfStyle w:val="001000000000" w:firstRow="0" w:lastRow="0" w:firstColumn="1" w:lastColumn="0" w:oddVBand="0" w:evenVBand="0" w:oddHBand="0" w:evenHBand="0" w:firstRowFirstColumn="0" w:firstRowLastColumn="0" w:lastRowFirstColumn="0" w:lastRowLastColumn="0"/>
            <w:tcW w:w="2093" w:type="dxa"/>
            <w:gridSpan w:val="2"/>
          </w:tcPr>
          <w:p w14:paraId="161791B1" w14:textId="77777777" w:rsidR="00DF0C78" w:rsidRPr="0084402E" w:rsidRDefault="00C62FD6" w:rsidP="00B01E67">
            <w:pPr>
              <w:jc w:val="both"/>
              <w:rPr>
                <w:rFonts w:ascii="Arial" w:hAnsi="Arial" w:cs="Arial"/>
                <w:b w:val="0"/>
                <w:sz w:val="24"/>
                <w:szCs w:val="24"/>
              </w:rPr>
            </w:pPr>
            <w:r w:rsidRPr="0084402E">
              <w:rPr>
                <w:rFonts w:ascii="Arial" w:hAnsi="Arial" w:cs="Arial"/>
                <w:b w:val="0"/>
                <w:sz w:val="24"/>
                <w:szCs w:val="24"/>
              </w:rPr>
              <w:t>6. IEAEY Población atendida 2013</w:t>
            </w:r>
          </w:p>
        </w:tc>
        <w:tc>
          <w:tcPr>
            <w:tcW w:w="1984" w:type="dxa"/>
          </w:tcPr>
          <w:p w14:paraId="213CFF81" w14:textId="77777777" w:rsidR="00DF0C78" w:rsidRPr="0084402E" w:rsidRDefault="00901926"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Gobierno del Estado de Yucatán, STGPE</w:t>
            </w:r>
          </w:p>
        </w:tc>
        <w:tc>
          <w:tcPr>
            <w:tcW w:w="5998" w:type="dxa"/>
          </w:tcPr>
          <w:p w14:paraId="3C22C74A" w14:textId="77777777" w:rsidR="00DF0C78" w:rsidRPr="0084402E" w:rsidRDefault="00DF0C78"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Cuenta Pública 2013</w:t>
            </w:r>
            <w:r w:rsidR="00901926" w:rsidRPr="0084402E">
              <w:rPr>
                <w:rFonts w:ascii="Arial" w:hAnsi="Arial" w:cs="Arial"/>
                <w:sz w:val="24"/>
                <w:szCs w:val="24"/>
              </w:rPr>
              <w:t xml:space="preserve"> del Gobierno del Estado de</w:t>
            </w:r>
            <w:r w:rsidR="00776EB2" w:rsidRPr="0084402E">
              <w:rPr>
                <w:rFonts w:ascii="Arial" w:hAnsi="Arial" w:cs="Arial"/>
                <w:sz w:val="24"/>
                <w:szCs w:val="24"/>
              </w:rPr>
              <w:t xml:space="preserve"> </w:t>
            </w:r>
            <w:r w:rsidR="00901926" w:rsidRPr="0084402E">
              <w:rPr>
                <w:rFonts w:ascii="Arial" w:hAnsi="Arial" w:cs="Arial"/>
                <w:sz w:val="24"/>
                <w:szCs w:val="24"/>
              </w:rPr>
              <w:t>Yucatán</w:t>
            </w:r>
          </w:p>
        </w:tc>
      </w:tr>
      <w:tr w:rsidR="00901926" w:rsidRPr="0084402E" w14:paraId="0869F4A7" w14:textId="77777777" w:rsidTr="00901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14:paraId="5B0D9866" w14:textId="77777777" w:rsidR="00DF0C78" w:rsidRPr="0084402E" w:rsidRDefault="00DF0C78" w:rsidP="00B01E67">
            <w:pPr>
              <w:jc w:val="both"/>
              <w:rPr>
                <w:rFonts w:ascii="Arial" w:hAnsi="Arial" w:cs="Arial"/>
                <w:b w:val="0"/>
                <w:sz w:val="24"/>
                <w:szCs w:val="24"/>
              </w:rPr>
            </w:pPr>
          </w:p>
        </w:tc>
        <w:tc>
          <w:tcPr>
            <w:tcW w:w="1984" w:type="dxa"/>
          </w:tcPr>
          <w:p w14:paraId="339C67EF" w14:textId="77777777" w:rsidR="00DF0C78" w:rsidRPr="0084402E" w:rsidRDefault="00901926" w:rsidP="00B01E6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402E">
              <w:rPr>
                <w:rFonts w:ascii="Arial" w:hAnsi="Arial" w:cs="Arial"/>
                <w:sz w:val="24"/>
                <w:szCs w:val="24"/>
              </w:rPr>
              <w:t>SHCP</w:t>
            </w:r>
          </w:p>
        </w:tc>
        <w:tc>
          <w:tcPr>
            <w:tcW w:w="5998" w:type="dxa"/>
          </w:tcPr>
          <w:p w14:paraId="124BFE5D" w14:textId="77777777" w:rsidR="00DF0C78" w:rsidRPr="0084402E" w:rsidRDefault="00DF0C78" w:rsidP="00B01E6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402E">
              <w:rPr>
                <w:rFonts w:ascii="Arial" w:hAnsi="Arial" w:cs="Arial"/>
                <w:sz w:val="24"/>
                <w:szCs w:val="24"/>
              </w:rPr>
              <w:t xml:space="preserve">Informes sobre la Situación Económica, las Finanzas Públicas y la Deuda Pública. </w:t>
            </w:r>
            <w:r w:rsidR="00901926" w:rsidRPr="0084402E">
              <w:rPr>
                <w:rFonts w:ascii="Arial" w:hAnsi="Arial" w:cs="Arial"/>
                <w:sz w:val="24"/>
                <w:szCs w:val="24"/>
              </w:rPr>
              <w:t xml:space="preserve">Informe de </w:t>
            </w:r>
            <w:r w:rsidR="007B5F0E" w:rsidRPr="0084402E">
              <w:rPr>
                <w:rFonts w:ascii="Arial" w:hAnsi="Arial" w:cs="Arial"/>
                <w:sz w:val="24"/>
                <w:szCs w:val="24"/>
              </w:rPr>
              <w:t>resultados d</w:t>
            </w:r>
            <w:r w:rsidR="00901926" w:rsidRPr="0084402E">
              <w:rPr>
                <w:rFonts w:ascii="Arial" w:hAnsi="Arial" w:cs="Arial"/>
                <w:sz w:val="24"/>
                <w:szCs w:val="24"/>
              </w:rPr>
              <w:t xml:space="preserve">e indicadores. </w:t>
            </w:r>
            <w:r w:rsidRPr="0084402E">
              <w:rPr>
                <w:rFonts w:ascii="Arial" w:hAnsi="Arial" w:cs="Arial"/>
                <w:sz w:val="24"/>
                <w:szCs w:val="24"/>
              </w:rPr>
              <w:t>FAETA 2013.</w:t>
            </w:r>
          </w:p>
        </w:tc>
      </w:tr>
      <w:tr w:rsidR="00901926" w:rsidRPr="0084402E" w14:paraId="1D05937D" w14:textId="77777777" w:rsidTr="009E522D">
        <w:tc>
          <w:tcPr>
            <w:cnfStyle w:val="001000000000" w:firstRow="0" w:lastRow="0" w:firstColumn="1" w:lastColumn="0" w:oddVBand="0" w:evenVBand="0" w:oddHBand="0" w:evenHBand="0" w:firstRowFirstColumn="0" w:firstRowLastColumn="0" w:lastRowFirstColumn="0" w:lastRowLastColumn="0"/>
            <w:tcW w:w="2038" w:type="dxa"/>
          </w:tcPr>
          <w:p w14:paraId="63DB6D5A" w14:textId="77777777" w:rsidR="00901926" w:rsidRPr="0084402E" w:rsidRDefault="007B5F0E" w:rsidP="00B01E67">
            <w:pPr>
              <w:jc w:val="both"/>
              <w:rPr>
                <w:rFonts w:ascii="Arial" w:hAnsi="Arial" w:cs="Arial"/>
                <w:b w:val="0"/>
                <w:sz w:val="24"/>
                <w:szCs w:val="24"/>
              </w:rPr>
            </w:pPr>
            <w:r w:rsidRPr="0084402E">
              <w:rPr>
                <w:rFonts w:ascii="Arial" w:hAnsi="Arial" w:cs="Arial"/>
                <w:b w:val="0"/>
                <w:sz w:val="24"/>
                <w:szCs w:val="24"/>
              </w:rPr>
              <w:t>6. IEAEY Población atendida 2013</w:t>
            </w:r>
          </w:p>
        </w:tc>
        <w:tc>
          <w:tcPr>
            <w:tcW w:w="2039" w:type="dxa"/>
            <w:gridSpan w:val="2"/>
          </w:tcPr>
          <w:p w14:paraId="73FF08DB" w14:textId="77777777" w:rsidR="00901926" w:rsidRPr="0084402E" w:rsidRDefault="00901926" w:rsidP="00B01E67">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t>IEAY</w:t>
            </w:r>
          </w:p>
        </w:tc>
        <w:tc>
          <w:tcPr>
            <w:tcW w:w="5998" w:type="dxa"/>
          </w:tcPr>
          <w:p w14:paraId="1A03C0BB" w14:textId="77777777" w:rsidR="00901926" w:rsidRPr="0084402E" w:rsidRDefault="00901926" w:rsidP="00B01E6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Instituto de Educación para Adultos 2013. Educandos Registrados.</w:t>
            </w:r>
          </w:p>
        </w:tc>
      </w:tr>
      <w:tr w:rsidR="00901926" w:rsidRPr="0084402E" w14:paraId="41ED50B4" w14:textId="77777777" w:rsidTr="009E5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79F7D5CF" w14:textId="77777777" w:rsidR="00901926" w:rsidRPr="0084402E" w:rsidRDefault="00776EB2" w:rsidP="00B01E67">
            <w:pPr>
              <w:autoSpaceDE w:val="0"/>
              <w:autoSpaceDN w:val="0"/>
              <w:adjustRightInd w:val="0"/>
              <w:jc w:val="both"/>
              <w:rPr>
                <w:rFonts w:ascii="Arial" w:hAnsi="Arial" w:cs="Arial"/>
                <w:b w:val="0"/>
                <w:sz w:val="24"/>
                <w:szCs w:val="24"/>
              </w:rPr>
            </w:pPr>
            <w:r w:rsidRPr="0084402E">
              <w:rPr>
                <w:rFonts w:ascii="Arial" w:hAnsi="Arial" w:cs="Arial"/>
                <w:b w:val="0"/>
                <w:sz w:val="24"/>
                <w:szCs w:val="24"/>
              </w:rPr>
              <w:t xml:space="preserve">18. Presupuesto autorizado PP 2013 </w:t>
            </w:r>
          </w:p>
        </w:tc>
        <w:tc>
          <w:tcPr>
            <w:tcW w:w="2039" w:type="dxa"/>
            <w:gridSpan w:val="2"/>
          </w:tcPr>
          <w:p w14:paraId="33D25744" w14:textId="77777777" w:rsidR="00901926" w:rsidRPr="0084402E" w:rsidRDefault="00901926" w:rsidP="00B01E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84402E">
              <w:rPr>
                <w:rFonts w:ascii="Arial" w:hAnsi="Arial" w:cs="Arial"/>
                <w:sz w:val="24"/>
                <w:szCs w:val="24"/>
              </w:rPr>
              <w:t>STGPE, SAF</w:t>
            </w:r>
          </w:p>
        </w:tc>
        <w:tc>
          <w:tcPr>
            <w:tcW w:w="5998" w:type="dxa"/>
          </w:tcPr>
          <w:p w14:paraId="276AA94A" w14:textId="77777777" w:rsidR="00901926" w:rsidRPr="0084402E" w:rsidRDefault="00901926" w:rsidP="00B01E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402E">
              <w:rPr>
                <w:rFonts w:ascii="Arial" w:hAnsi="Arial" w:cs="Arial"/>
                <w:sz w:val="24"/>
                <w:szCs w:val="24"/>
              </w:rPr>
              <w:t>Presupuesto de Egresos del Gobierno del Estado de Yucatán para el Ejercicio Fiscal 2013:Tomo V:Programa Operativo Anual</w:t>
            </w:r>
          </w:p>
        </w:tc>
      </w:tr>
      <w:tr w:rsidR="00901926" w:rsidRPr="0084402E" w14:paraId="201C5C03" w14:textId="77777777" w:rsidTr="009E522D">
        <w:tc>
          <w:tcPr>
            <w:cnfStyle w:val="001000000000" w:firstRow="0" w:lastRow="0" w:firstColumn="1" w:lastColumn="0" w:oddVBand="0" w:evenVBand="0" w:oddHBand="0" w:evenHBand="0" w:firstRowFirstColumn="0" w:firstRowLastColumn="0" w:lastRowFirstColumn="0" w:lastRowLastColumn="0"/>
            <w:tcW w:w="2038" w:type="dxa"/>
          </w:tcPr>
          <w:p w14:paraId="483DD48B" w14:textId="77777777" w:rsidR="00901926" w:rsidRPr="0084402E" w:rsidRDefault="00C62FD6" w:rsidP="00B01E67">
            <w:pPr>
              <w:jc w:val="both"/>
              <w:rPr>
                <w:rFonts w:ascii="Arial" w:hAnsi="Arial" w:cs="Arial"/>
                <w:b w:val="0"/>
                <w:sz w:val="24"/>
                <w:szCs w:val="24"/>
              </w:rPr>
            </w:pPr>
            <w:r w:rsidRPr="0084402E">
              <w:rPr>
                <w:rFonts w:ascii="Arial" w:hAnsi="Arial" w:cs="Arial"/>
                <w:b w:val="0"/>
                <w:sz w:val="24"/>
                <w:szCs w:val="24"/>
              </w:rPr>
              <w:t>14. IEAEY PASH 2014</w:t>
            </w:r>
          </w:p>
        </w:tc>
        <w:tc>
          <w:tcPr>
            <w:tcW w:w="2039" w:type="dxa"/>
            <w:gridSpan w:val="2"/>
          </w:tcPr>
          <w:p w14:paraId="070FB975" w14:textId="77777777" w:rsidR="00901926" w:rsidRPr="0084402E" w:rsidRDefault="00857A9C" w:rsidP="00B01E67">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84402E">
              <w:rPr>
                <w:rFonts w:ascii="Arial" w:hAnsi="Arial" w:cs="Arial"/>
                <w:sz w:val="24"/>
                <w:szCs w:val="24"/>
              </w:rPr>
              <w:t>SHCP</w:t>
            </w:r>
          </w:p>
        </w:tc>
        <w:tc>
          <w:tcPr>
            <w:tcW w:w="5998" w:type="dxa"/>
          </w:tcPr>
          <w:p w14:paraId="014A72A2" w14:textId="77777777" w:rsidR="00901926" w:rsidRPr="0084402E" w:rsidRDefault="00901926" w:rsidP="00B01E6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Informes sobre la Situación Económica, las Finanzas Públicas y la Deuda Pública. Reporte de Avance Financiero FAETA 2014</w:t>
            </w:r>
          </w:p>
        </w:tc>
      </w:tr>
      <w:tr w:rsidR="00901926" w:rsidRPr="0084402E" w14:paraId="0378D03B" w14:textId="77777777" w:rsidTr="009E5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7B02AA8A" w14:textId="77777777" w:rsidR="00901926" w:rsidRPr="0084402E" w:rsidRDefault="00C62FD6" w:rsidP="00B01E67">
            <w:pPr>
              <w:autoSpaceDE w:val="0"/>
              <w:autoSpaceDN w:val="0"/>
              <w:adjustRightInd w:val="0"/>
              <w:jc w:val="both"/>
              <w:rPr>
                <w:rFonts w:ascii="Arial" w:hAnsi="Arial" w:cs="Arial"/>
                <w:b w:val="0"/>
                <w:sz w:val="24"/>
                <w:szCs w:val="24"/>
              </w:rPr>
            </w:pPr>
            <w:r w:rsidRPr="0084402E">
              <w:rPr>
                <w:rFonts w:ascii="Arial" w:hAnsi="Arial" w:cs="Arial"/>
                <w:b w:val="0"/>
                <w:sz w:val="24"/>
                <w:szCs w:val="24"/>
              </w:rPr>
              <w:t>16. FAETA informe financiero</w:t>
            </w:r>
          </w:p>
        </w:tc>
        <w:tc>
          <w:tcPr>
            <w:tcW w:w="2039" w:type="dxa"/>
            <w:gridSpan w:val="2"/>
          </w:tcPr>
          <w:p w14:paraId="30557877" w14:textId="77777777" w:rsidR="00901926" w:rsidRPr="0084402E" w:rsidRDefault="007B5F0E" w:rsidP="00B01E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t>SAF</w:t>
            </w:r>
          </w:p>
        </w:tc>
        <w:tc>
          <w:tcPr>
            <w:tcW w:w="5998" w:type="dxa"/>
          </w:tcPr>
          <w:p w14:paraId="59FB46EB" w14:textId="0E2491FD" w:rsidR="00901926" w:rsidRPr="0084402E" w:rsidRDefault="00263503" w:rsidP="00B01E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402E">
              <w:rPr>
                <w:rFonts w:ascii="Arial" w:hAnsi="Arial" w:cs="Arial"/>
                <w:sz w:val="24"/>
                <w:szCs w:val="24"/>
              </w:rPr>
              <w:t>Yucatán PORTAL DEL TÍ</w:t>
            </w:r>
            <w:r w:rsidR="00901926" w:rsidRPr="0084402E">
              <w:rPr>
                <w:rFonts w:ascii="Arial" w:hAnsi="Arial" w:cs="Arial"/>
                <w:sz w:val="24"/>
                <w:szCs w:val="24"/>
              </w:rPr>
              <w:t>T</w:t>
            </w:r>
            <w:r w:rsidRPr="0084402E">
              <w:rPr>
                <w:rFonts w:ascii="Arial" w:hAnsi="Arial" w:cs="Arial"/>
                <w:sz w:val="24"/>
                <w:szCs w:val="24"/>
              </w:rPr>
              <w:t>ULO V DE LA LGCG DE LA SECRETARÍ</w:t>
            </w:r>
            <w:r w:rsidR="00901926" w:rsidRPr="0084402E">
              <w:rPr>
                <w:rFonts w:ascii="Arial" w:hAnsi="Arial" w:cs="Arial"/>
                <w:sz w:val="24"/>
                <w:szCs w:val="24"/>
              </w:rPr>
              <w:t>A</w:t>
            </w:r>
            <w:r w:rsidRPr="0084402E">
              <w:rPr>
                <w:rFonts w:ascii="Arial" w:hAnsi="Arial" w:cs="Arial"/>
                <w:sz w:val="24"/>
                <w:szCs w:val="24"/>
              </w:rPr>
              <w:t xml:space="preserve"> </w:t>
            </w:r>
            <w:r w:rsidR="00901926" w:rsidRPr="0084402E">
              <w:rPr>
                <w:rFonts w:ascii="Arial" w:hAnsi="Arial" w:cs="Arial"/>
                <w:sz w:val="24"/>
                <w:szCs w:val="24"/>
              </w:rPr>
              <w:t>DE FINANZAS Y ADMINISTRACIÓN DEL GOBIERNO DEL</w:t>
            </w:r>
            <w:r w:rsidRPr="0084402E">
              <w:rPr>
                <w:rFonts w:ascii="Arial" w:hAnsi="Arial" w:cs="Arial"/>
                <w:sz w:val="24"/>
                <w:szCs w:val="24"/>
              </w:rPr>
              <w:t xml:space="preserve"> </w:t>
            </w:r>
            <w:r w:rsidR="00901926" w:rsidRPr="0084402E">
              <w:rPr>
                <w:rFonts w:ascii="Arial" w:hAnsi="Arial" w:cs="Arial"/>
                <w:sz w:val="24"/>
                <w:szCs w:val="24"/>
              </w:rPr>
              <w:t>ESTADO DE YUCATÁN</w:t>
            </w:r>
          </w:p>
          <w:p w14:paraId="17DC8F79" w14:textId="77777777" w:rsidR="00C62FD6" w:rsidRPr="0084402E" w:rsidRDefault="00C62FD6" w:rsidP="00B01E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402E">
              <w:rPr>
                <w:rFonts w:ascii="Arial" w:eastAsiaTheme="minorEastAsia" w:hAnsi="Arial" w:cs="Arial"/>
                <w:color w:val="0000FF"/>
                <w:sz w:val="24"/>
                <w:szCs w:val="24"/>
                <w:lang w:eastAsia="es-ES"/>
              </w:rPr>
              <w:t>http://www.conacey.yucatan.gob.mx/files-content/general/b63756e5c174b7634bbb785ba6f85bbf.pdf</w:t>
            </w:r>
          </w:p>
        </w:tc>
      </w:tr>
      <w:tr w:rsidR="00901926" w:rsidRPr="0084402E" w14:paraId="6D4C18B1" w14:textId="77777777" w:rsidTr="009E522D">
        <w:tc>
          <w:tcPr>
            <w:cnfStyle w:val="001000000000" w:firstRow="0" w:lastRow="0" w:firstColumn="1" w:lastColumn="0" w:oddVBand="0" w:evenVBand="0" w:oddHBand="0" w:evenHBand="0" w:firstRowFirstColumn="0" w:firstRowLastColumn="0" w:lastRowFirstColumn="0" w:lastRowLastColumn="0"/>
            <w:tcW w:w="2038" w:type="dxa"/>
          </w:tcPr>
          <w:p w14:paraId="4CD90E8C" w14:textId="77777777" w:rsidR="00901926" w:rsidRPr="0084402E" w:rsidRDefault="007B5F0E" w:rsidP="00B01E67">
            <w:pPr>
              <w:jc w:val="both"/>
              <w:rPr>
                <w:rFonts w:ascii="Arial" w:eastAsia="Times New Roman" w:hAnsi="Arial" w:cs="Arial"/>
                <w:b w:val="0"/>
                <w:color w:val="000000"/>
                <w:sz w:val="24"/>
                <w:szCs w:val="24"/>
                <w:lang w:eastAsia="es-MX"/>
              </w:rPr>
            </w:pPr>
            <w:r w:rsidRPr="0084402E">
              <w:rPr>
                <w:rFonts w:ascii="Arial" w:eastAsia="Times New Roman" w:hAnsi="Arial" w:cs="Arial"/>
                <w:b w:val="0"/>
                <w:color w:val="000000"/>
                <w:sz w:val="24"/>
                <w:szCs w:val="24"/>
                <w:lang w:eastAsia="es-MX"/>
              </w:rPr>
              <w:lastRenderedPageBreak/>
              <w:t>16. IEAEY Anexo contable 2014</w:t>
            </w:r>
          </w:p>
        </w:tc>
        <w:tc>
          <w:tcPr>
            <w:tcW w:w="2039" w:type="dxa"/>
            <w:gridSpan w:val="2"/>
          </w:tcPr>
          <w:p w14:paraId="3E0FE3A8" w14:textId="77777777" w:rsidR="00901926" w:rsidRPr="0084402E" w:rsidRDefault="007B5F0E" w:rsidP="00B01E6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s-MX"/>
              </w:rPr>
            </w:pPr>
            <w:r w:rsidRPr="0084402E">
              <w:rPr>
                <w:rFonts w:ascii="Arial" w:hAnsi="Arial" w:cs="Arial"/>
                <w:sz w:val="24"/>
                <w:szCs w:val="24"/>
              </w:rPr>
              <w:t>Gobierno del Estado de Yucatán, STGPE</w:t>
            </w:r>
          </w:p>
        </w:tc>
        <w:tc>
          <w:tcPr>
            <w:tcW w:w="5998" w:type="dxa"/>
          </w:tcPr>
          <w:p w14:paraId="029D72DC" w14:textId="77777777" w:rsidR="00901926" w:rsidRPr="0084402E" w:rsidRDefault="00901926" w:rsidP="00B01E6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4"/>
                <w:szCs w:val="24"/>
                <w:lang w:eastAsia="es-MX"/>
              </w:rPr>
            </w:pPr>
            <w:r w:rsidRPr="0084402E">
              <w:rPr>
                <w:rFonts w:ascii="Arial" w:eastAsia="Times New Roman" w:hAnsi="Arial" w:cs="Arial"/>
                <w:color w:val="000000"/>
                <w:sz w:val="24"/>
                <w:szCs w:val="24"/>
                <w:lang w:eastAsia="es-MX"/>
              </w:rPr>
              <w:t>Cuenta Pública 2014</w:t>
            </w:r>
            <w:r w:rsidRPr="0084402E">
              <w:rPr>
                <w:rFonts w:ascii="Arial" w:eastAsia="Times New Roman" w:hAnsi="Arial" w:cs="Arial"/>
                <w:bCs/>
                <w:color w:val="000000"/>
                <w:sz w:val="24"/>
                <w:szCs w:val="24"/>
                <w:lang w:eastAsia="es-MX"/>
              </w:rPr>
              <w:t xml:space="preserve">. </w:t>
            </w:r>
            <w:r w:rsidRPr="0084402E">
              <w:rPr>
                <w:rFonts w:ascii="Arial" w:eastAsia="Times New Roman" w:hAnsi="Arial" w:cs="Arial"/>
                <w:color w:val="000000"/>
                <w:sz w:val="24"/>
                <w:szCs w:val="24"/>
                <w:lang w:eastAsia="es-MX"/>
              </w:rPr>
              <w:t>Estado de Actividades</w:t>
            </w:r>
            <w:r w:rsidRPr="0084402E">
              <w:rPr>
                <w:rFonts w:ascii="Arial" w:eastAsia="Times New Roman" w:hAnsi="Arial" w:cs="Arial"/>
                <w:bCs/>
                <w:color w:val="000000"/>
                <w:sz w:val="24"/>
                <w:szCs w:val="24"/>
                <w:lang w:eastAsia="es-MX"/>
              </w:rPr>
              <w:t xml:space="preserve">. </w:t>
            </w:r>
            <w:r w:rsidRPr="0084402E">
              <w:rPr>
                <w:rFonts w:ascii="Arial" w:eastAsia="Times New Roman" w:hAnsi="Arial" w:cs="Arial"/>
                <w:color w:val="000000"/>
                <w:sz w:val="24"/>
                <w:szCs w:val="24"/>
                <w:lang w:eastAsia="es-MX"/>
              </w:rPr>
              <w:t>Del  1o. de Enero al 31 de Diciembre de 2014</w:t>
            </w:r>
            <w:r w:rsidR="00233DAD" w:rsidRPr="0084402E">
              <w:rPr>
                <w:rFonts w:ascii="Arial" w:eastAsia="Times New Roman" w:hAnsi="Arial" w:cs="Arial"/>
                <w:bCs/>
                <w:color w:val="000000"/>
                <w:sz w:val="24"/>
                <w:szCs w:val="24"/>
                <w:lang w:eastAsia="es-MX"/>
              </w:rPr>
              <w:t xml:space="preserve">. </w:t>
            </w:r>
            <w:r w:rsidRPr="0084402E">
              <w:rPr>
                <w:rFonts w:ascii="Arial" w:eastAsia="Times New Roman" w:hAnsi="Arial" w:cs="Arial"/>
                <w:color w:val="000000"/>
                <w:sz w:val="24"/>
                <w:szCs w:val="24"/>
                <w:lang w:eastAsia="es-MX"/>
              </w:rPr>
              <w:t>Ente Público: INSTITUTO DE EDUCACIÓN PARA ADULTOS DEL ESTADO DE</w:t>
            </w:r>
            <w:r w:rsidRPr="0084402E">
              <w:rPr>
                <w:rFonts w:ascii="Arial" w:eastAsia="Times New Roman" w:hAnsi="Arial" w:cs="Arial"/>
                <w:bCs/>
                <w:color w:val="000000"/>
                <w:sz w:val="24"/>
                <w:szCs w:val="24"/>
                <w:lang w:eastAsia="es-MX"/>
              </w:rPr>
              <w:t xml:space="preserve"> YUCATÁN. Anexo contable 2014.</w:t>
            </w:r>
          </w:p>
        </w:tc>
      </w:tr>
      <w:tr w:rsidR="00901926" w:rsidRPr="0084402E" w14:paraId="382A3B88" w14:textId="77777777" w:rsidTr="009E5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1B5C360B" w14:textId="77777777" w:rsidR="00901926" w:rsidRPr="0084402E" w:rsidRDefault="007B5F0E" w:rsidP="00B01E67">
            <w:pPr>
              <w:jc w:val="both"/>
              <w:rPr>
                <w:rFonts w:ascii="Arial" w:eastAsia="Times New Roman" w:hAnsi="Arial" w:cs="Arial"/>
                <w:b w:val="0"/>
                <w:bCs w:val="0"/>
                <w:color w:val="000000"/>
                <w:sz w:val="24"/>
                <w:szCs w:val="24"/>
                <w:lang w:eastAsia="es-MX"/>
              </w:rPr>
            </w:pPr>
            <w:r w:rsidRPr="0084402E">
              <w:rPr>
                <w:rFonts w:ascii="Arial" w:eastAsia="Times New Roman" w:hAnsi="Arial" w:cs="Arial"/>
                <w:b w:val="0"/>
                <w:bCs w:val="0"/>
                <w:color w:val="000000"/>
                <w:sz w:val="24"/>
                <w:szCs w:val="24"/>
                <w:lang w:eastAsia="es-MX"/>
              </w:rPr>
              <w:t>16. IEAEY Anexo presupuestal 2014</w:t>
            </w:r>
          </w:p>
        </w:tc>
        <w:tc>
          <w:tcPr>
            <w:tcW w:w="2039" w:type="dxa"/>
            <w:gridSpan w:val="2"/>
          </w:tcPr>
          <w:p w14:paraId="3B91F23A" w14:textId="77777777" w:rsidR="00901926" w:rsidRPr="0084402E" w:rsidRDefault="007B5F0E" w:rsidP="00B01E6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4402E">
              <w:rPr>
                <w:rFonts w:ascii="Arial" w:hAnsi="Arial" w:cs="Arial"/>
                <w:sz w:val="24"/>
                <w:szCs w:val="24"/>
              </w:rPr>
              <w:t>Gobierno del Estado de Yucatán, STGPE</w:t>
            </w:r>
          </w:p>
        </w:tc>
        <w:tc>
          <w:tcPr>
            <w:tcW w:w="5998" w:type="dxa"/>
          </w:tcPr>
          <w:p w14:paraId="690677AE" w14:textId="77777777" w:rsidR="00901926" w:rsidRPr="0084402E" w:rsidRDefault="00901926" w:rsidP="00B01E6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4402E">
              <w:rPr>
                <w:rFonts w:ascii="Arial" w:eastAsia="Times New Roman" w:hAnsi="Arial" w:cs="Arial"/>
                <w:bCs/>
                <w:color w:val="000000"/>
                <w:sz w:val="24"/>
                <w:szCs w:val="24"/>
                <w:lang w:eastAsia="es-MX"/>
              </w:rPr>
              <w:t>Cuenta Pública 2014. Ente Público: Instituto de Educación para Adultos del Estado de Yucatán. Estado Analítico de Ingresos. Del 1º. De Enero al 31 de Diciembre de 2014. (anexo presupuestal 2014)</w:t>
            </w:r>
            <w:r w:rsidR="00233DAD" w:rsidRPr="0084402E">
              <w:rPr>
                <w:rFonts w:ascii="Arial" w:eastAsia="Times New Roman" w:hAnsi="Arial" w:cs="Arial"/>
                <w:bCs/>
                <w:color w:val="000000"/>
                <w:sz w:val="24"/>
                <w:szCs w:val="24"/>
                <w:lang w:eastAsia="es-MX"/>
              </w:rPr>
              <w:t>.</w:t>
            </w:r>
          </w:p>
        </w:tc>
      </w:tr>
      <w:tr w:rsidR="00901926" w:rsidRPr="0084402E" w14:paraId="6C56F83F" w14:textId="77777777" w:rsidTr="009E522D">
        <w:tc>
          <w:tcPr>
            <w:cnfStyle w:val="001000000000" w:firstRow="0" w:lastRow="0" w:firstColumn="1" w:lastColumn="0" w:oddVBand="0" w:evenVBand="0" w:oddHBand="0" w:evenHBand="0" w:firstRowFirstColumn="0" w:firstRowLastColumn="0" w:lastRowFirstColumn="0" w:lastRowLastColumn="0"/>
            <w:tcW w:w="2038" w:type="dxa"/>
          </w:tcPr>
          <w:p w14:paraId="473AAAC5" w14:textId="77777777" w:rsidR="00901926" w:rsidRPr="0084402E" w:rsidRDefault="00C62FD6" w:rsidP="00B01E67">
            <w:pPr>
              <w:autoSpaceDE w:val="0"/>
              <w:autoSpaceDN w:val="0"/>
              <w:adjustRightInd w:val="0"/>
              <w:jc w:val="both"/>
              <w:rPr>
                <w:rFonts w:ascii="Arial" w:hAnsi="Arial" w:cs="Arial"/>
                <w:b w:val="0"/>
                <w:sz w:val="24"/>
                <w:szCs w:val="24"/>
              </w:rPr>
            </w:pPr>
            <w:r w:rsidRPr="0084402E">
              <w:rPr>
                <w:rFonts w:ascii="Arial" w:hAnsi="Arial" w:cs="Arial"/>
                <w:b w:val="0"/>
                <w:sz w:val="24"/>
                <w:szCs w:val="24"/>
              </w:rPr>
              <w:t>10. MIR 2013 IEAEY</w:t>
            </w:r>
          </w:p>
        </w:tc>
        <w:tc>
          <w:tcPr>
            <w:tcW w:w="2039" w:type="dxa"/>
            <w:gridSpan w:val="2"/>
          </w:tcPr>
          <w:p w14:paraId="30B623A8" w14:textId="77777777" w:rsidR="00901926" w:rsidRPr="0084402E" w:rsidRDefault="00C62FD6"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84402E">
              <w:rPr>
                <w:rFonts w:ascii="Arial" w:hAnsi="Arial" w:cs="Arial"/>
                <w:bCs/>
                <w:sz w:val="24"/>
                <w:szCs w:val="24"/>
              </w:rPr>
              <w:t>Gobierno del Estado de Yucatán, SAF</w:t>
            </w:r>
          </w:p>
        </w:tc>
        <w:tc>
          <w:tcPr>
            <w:tcW w:w="5998" w:type="dxa"/>
          </w:tcPr>
          <w:p w14:paraId="5682A092" w14:textId="77777777" w:rsidR="00901926" w:rsidRPr="0084402E" w:rsidRDefault="00901926"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Presupuesto de Egresos del Gobierno del Estado de Yucatán para el Ejercicio Fiscal 2013: Tomo V: Programa Operativo Anual</w:t>
            </w:r>
          </w:p>
        </w:tc>
      </w:tr>
      <w:tr w:rsidR="003F022C" w:rsidRPr="0084402E" w14:paraId="3B9EE709" w14:textId="77777777" w:rsidTr="009E5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5F7E88B6" w14:textId="77777777" w:rsidR="003F022C" w:rsidRPr="0084402E" w:rsidRDefault="003F022C" w:rsidP="00B01E67">
            <w:pPr>
              <w:autoSpaceDE w:val="0"/>
              <w:autoSpaceDN w:val="0"/>
              <w:adjustRightInd w:val="0"/>
              <w:jc w:val="both"/>
              <w:rPr>
                <w:rFonts w:ascii="Arial" w:hAnsi="Arial" w:cs="Arial"/>
                <w:b w:val="0"/>
                <w:color w:val="000000"/>
                <w:sz w:val="24"/>
                <w:szCs w:val="24"/>
              </w:rPr>
            </w:pPr>
            <w:r w:rsidRPr="0084402E">
              <w:rPr>
                <w:rFonts w:ascii="Arial" w:hAnsi="Arial" w:cs="Arial"/>
                <w:b w:val="0"/>
                <w:color w:val="000000"/>
                <w:sz w:val="24"/>
                <w:szCs w:val="24"/>
              </w:rPr>
              <w:t>Página web</w:t>
            </w:r>
          </w:p>
        </w:tc>
        <w:tc>
          <w:tcPr>
            <w:tcW w:w="2039" w:type="dxa"/>
            <w:gridSpan w:val="2"/>
          </w:tcPr>
          <w:p w14:paraId="144FA9D4" w14:textId="77777777" w:rsidR="003F022C" w:rsidRPr="0084402E" w:rsidRDefault="003F022C" w:rsidP="00B01E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4"/>
                <w:szCs w:val="24"/>
              </w:rPr>
            </w:pPr>
            <w:r w:rsidRPr="0084402E">
              <w:rPr>
                <w:rFonts w:ascii="Arial" w:hAnsi="Arial" w:cs="Arial"/>
                <w:bCs/>
                <w:color w:val="000000"/>
                <w:sz w:val="24"/>
                <w:szCs w:val="24"/>
              </w:rPr>
              <w:t>SHCP</w:t>
            </w:r>
          </w:p>
        </w:tc>
        <w:tc>
          <w:tcPr>
            <w:tcW w:w="5998" w:type="dxa"/>
          </w:tcPr>
          <w:p w14:paraId="4F32D938" w14:textId="77777777" w:rsidR="003F022C" w:rsidRPr="0084402E" w:rsidRDefault="003F022C" w:rsidP="00B01E67">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rPr>
            </w:pPr>
            <w:r w:rsidRPr="0084402E">
              <w:rPr>
                <w:rFonts w:ascii="Arial" w:eastAsiaTheme="minorEastAsia" w:hAnsi="Arial" w:cs="Arial"/>
                <w:sz w:val="24"/>
                <w:szCs w:val="24"/>
              </w:rPr>
              <w:t>Lineamientos para informar sobre los recursos federales transferidos a las entidades federativas, municipios y demarcaciones territoriales del Distrito Federal, y de operación de los recursos del Ramo General 33 (DOF 25 de abril de 2013)</w:t>
            </w:r>
          </w:p>
          <w:p w14:paraId="6CC423D0" w14:textId="77777777" w:rsidR="003F022C" w:rsidRPr="0084402E" w:rsidRDefault="002A7AE0" w:rsidP="00B01E67">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rPr>
            </w:pPr>
            <w:hyperlink r:id="rId18" w:history="1">
              <w:r w:rsidR="007A21ED" w:rsidRPr="0084402E">
                <w:rPr>
                  <w:rStyle w:val="Hipervnculo"/>
                  <w:rFonts w:ascii="Arial" w:eastAsiaTheme="minorEastAsia" w:hAnsi="Arial" w:cs="Arial"/>
                  <w:sz w:val="24"/>
                  <w:szCs w:val="24"/>
                </w:rPr>
                <w:t>http://dof.gob.mx/nota_detalle.php?codigo=5297066&amp;fecha=25/04/2013</w:t>
              </w:r>
            </w:hyperlink>
            <w:r w:rsidR="007A21ED" w:rsidRPr="0084402E">
              <w:rPr>
                <w:rFonts w:ascii="Arial" w:eastAsiaTheme="minorEastAsia" w:hAnsi="Arial" w:cs="Arial"/>
                <w:sz w:val="24"/>
                <w:szCs w:val="24"/>
              </w:rPr>
              <w:t xml:space="preserve"> </w:t>
            </w:r>
          </w:p>
        </w:tc>
      </w:tr>
      <w:tr w:rsidR="007A21ED" w:rsidRPr="0084402E" w14:paraId="41F8BA20" w14:textId="77777777" w:rsidTr="009E522D">
        <w:tc>
          <w:tcPr>
            <w:cnfStyle w:val="001000000000" w:firstRow="0" w:lastRow="0" w:firstColumn="1" w:lastColumn="0" w:oddVBand="0" w:evenVBand="0" w:oddHBand="0" w:evenHBand="0" w:firstRowFirstColumn="0" w:firstRowLastColumn="0" w:lastRowFirstColumn="0" w:lastRowLastColumn="0"/>
            <w:tcW w:w="2038" w:type="dxa"/>
          </w:tcPr>
          <w:p w14:paraId="5A122381" w14:textId="77777777" w:rsidR="007A21ED" w:rsidRPr="0084402E" w:rsidRDefault="007A21ED" w:rsidP="00B01E67">
            <w:pPr>
              <w:autoSpaceDE w:val="0"/>
              <w:autoSpaceDN w:val="0"/>
              <w:adjustRightInd w:val="0"/>
              <w:jc w:val="both"/>
              <w:rPr>
                <w:rFonts w:ascii="Arial" w:hAnsi="Arial" w:cs="Arial"/>
                <w:b w:val="0"/>
                <w:color w:val="000000"/>
                <w:sz w:val="24"/>
                <w:szCs w:val="24"/>
              </w:rPr>
            </w:pPr>
            <w:r w:rsidRPr="0084402E">
              <w:rPr>
                <w:rFonts w:ascii="Arial" w:hAnsi="Arial" w:cs="Arial"/>
                <w:b w:val="0"/>
                <w:color w:val="000000"/>
                <w:sz w:val="24"/>
                <w:szCs w:val="24"/>
              </w:rPr>
              <w:t>Página web</w:t>
            </w:r>
          </w:p>
        </w:tc>
        <w:tc>
          <w:tcPr>
            <w:tcW w:w="2039" w:type="dxa"/>
            <w:gridSpan w:val="2"/>
          </w:tcPr>
          <w:p w14:paraId="04E8E089" w14:textId="77777777" w:rsidR="007A21ED" w:rsidRPr="0084402E" w:rsidRDefault="007A21ED"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84402E">
              <w:rPr>
                <w:rFonts w:ascii="Arial" w:hAnsi="Arial" w:cs="Arial"/>
                <w:bCs/>
                <w:color w:val="000000"/>
                <w:sz w:val="24"/>
                <w:szCs w:val="24"/>
              </w:rPr>
              <w:t>SHCP</w:t>
            </w:r>
          </w:p>
        </w:tc>
        <w:tc>
          <w:tcPr>
            <w:tcW w:w="5998" w:type="dxa"/>
          </w:tcPr>
          <w:p w14:paraId="74FAA4FC" w14:textId="77777777" w:rsidR="007A21ED" w:rsidRPr="0084402E" w:rsidRDefault="007A21ED" w:rsidP="00B01E67">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rPr>
            </w:pPr>
            <w:r w:rsidRPr="0084402E">
              <w:rPr>
                <w:rFonts w:ascii="Arial" w:eastAsiaTheme="minorEastAsia" w:hAnsi="Arial" w:cs="Arial"/>
                <w:sz w:val="24"/>
                <w:szCs w:val="24"/>
              </w:rPr>
              <w:t>Presupuesto de Egresos de la Federación para el Ejercicio Fiscal 2014</w:t>
            </w:r>
          </w:p>
          <w:p w14:paraId="4E9840BF" w14:textId="77777777" w:rsidR="007A21ED" w:rsidRPr="0084402E" w:rsidRDefault="002A7AE0" w:rsidP="00B01E67">
            <w:pPr>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rPr>
            </w:pPr>
            <w:hyperlink r:id="rId19" w:history="1">
              <w:r w:rsidR="007A21ED" w:rsidRPr="0084402E">
                <w:rPr>
                  <w:rStyle w:val="Hipervnculo"/>
                  <w:rFonts w:ascii="Arial" w:eastAsiaTheme="minorEastAsia" w:hAnsi="Arial" w:cs="Arial"/>
                  <w:sz w:val="24"/>
                  <w:szCs w:val="24"/>
                </w:rPr>
                <w:t>http://www.apartados.hacienda.gob.mx/presupuesto/temas/pef/2014/index.html</w:t>
              </w:r>
            </w:hyperlink>
            <w:r w:rsidR="007A21ED" w:rsidRPr="0084402E">
              <w:rPr>
                <w:rFonts w:ascii="Arial" w:eastAsiaTheme="minorEastAsia" w:hAnsi="Arial" w:cs="Arial"/>
                <w:sz w:val="24"/>
                <w:szCs w:val="24"/>
              </w:rPr>
              <w:t xml:space="preserve"> </w:t>
            </w:r>
          </w:p>
        </w:tc>
      </w:tr>
      <w:tr w:rsidR="007A21ED" w:rsidRPr="0084402E" w14:paraId="0B239479" w14:textId="77777777" w:rsidTr="009E5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7E093630" w14:textId="77777777" w:rsidR="007A21ED" w:rsidRPr="0084402E" w:rsidRDefault="007A21ED" w:rsidP="00B01E67">
            <w:pPr>
              <w:autoSpaceDE w:val="0"/>
              <w:autoSpaceDN w:val="0"/>
              <w:adjustRightInd w:val="0"/>
              <w:jc w:val="both"/>
              <w:rPr>
                <w:rFonts w:ascii="Arial" w:hAnsi="Arial" w:cs="Arial"/>
                <w:b w:val="0"/>
                <w:color w:val="000000"/>
                <w:sz w:val="24"/>
                <w:szCs w:val="24"/>
              </w:rPr>
            </w:pPr>
            <w:r w:rsidRPr="0084402E">
              <w:rPr>
                <w:rFonts w:ascii="Arial" w:hAnsi="Arial" w:cs="Arial"/>
                <w:b w:val="0"/>
                <w:color w:val="000000"/>
                <w:sz w:val="24"/>
                <w:szCs w:val="24"/>
              </w:rPr>
              <w:t>Página web</w:t>
            </w:r>
          </w:p>
        </w:tc>
        <w:tc>
          <w:tcPr>
            <w:tcW w:w="2039" w:type="dxa"/>
            <w:gridSpan w:val="2"/>
          </w:tcPr>
          <w:p w14:paraId="4270C41A" w14:textId="77777777" w:rsidR="007A21ED" w:rsidRPr="0084402E" w:rsidRDefault="007A21ED" w:rsidP="00B01E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4"/>
                <w:szCs w:val="24"/>
              </w:rPr>
            </w:pPr>
            <w:r w:rsidRPr="0084402E">
              <w:rPr>
                <w:rFonts w:ascii="Arial" w:hAnsi="Arial" w:cs="Arial"/>
                <w:bCs/>
                <w:color w:val="000000"/>
                <w:sz w:val="24"/>
                <w:szCs w:val="24"/>
              </w:rPr>
              <w:t>SHCP</w:t>
            </w:r>
          </w:p>
        </w:tc>
        <w:tc>
          <w:tcPr>
            <w:tcW w:w="5998" w:type="dxa"/>
          </w:tcPr>
          <w:p w14:paraId="7B1FEC3D" w14:textId="77777777" w:rsidR="007A21ED" w:rsidRPr="0084402E" w:rsidRDefault="007A21ED" w:rsidP="00B01E67">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rPr>
            </w:pPr>
            <w:r w:rsidRPr="0084402E">
              <w:rPr>
                <w:rFonts w:ascii="Arial" w:eastAsiaTheme="minorEastAsia" w:hAnsi="Arial" w:cs="Arial"/>
                <w:sz w:val="24"/>
                <w:szCs w:val="24"/>
              </w:rPr>
              <w:t>Presupuesto de Egreso de la Federación para el Ejercicio Fiscal 2013</w:t>
            </w:r>
          </w:p>
          <w:p w14:paraId="12B6D55A" w14:textId="77777777" w:rsidR="007A21ED" w:rsidRPr="0084402E" w:rsidRDefault="002A7AE0" w:rsidP="00B01E67">
            <w:pPr>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rPr>
            </w:pPr>
            <w:hyperlink r:id="rId20" w:history="1">
              <w:r w:rsidR="007A21ED" w:rsidRPr="0084402E">
                <w:rPr>
                  <w:rStyle w:val="Hipervnculo"/>
                  <w:rFonts w:ascii="Arial" w:eastAsiaTheme="minorEastAsia" w:hAnsi="Arial" w:cs="Arial"/>
                  <w:sz w:val="24"/>
                  <w:szCs w:val="24"/>
                </w:rPr>
                <w:t>http://www.apartados.hacienda.gob.mx/presupuesto/temas/pef/2013/index.html</w:t>
              </w:r>
            </w:hyperlink>
            <w:r w:rsidR="007A21ED" w:rsidRPr="0084402E">
              <w:rPr>
                <w:rFonts w:ascii="Arial" w:eastAsiaTheme="minorEastAsia" w:hAnsi="Arial" w:cs="Arial"/>
                <w:sz w:val="24"/>
                <w:szCs w:val="24"/>
              </w:rPr>
              <w:t xml:space="preserve"> </w:t>
            </w:r>
          </w:p>
        </w:tc>
      </w:tr>
      <w:tr w:rsidR="007A21ED" w:rsidRPr="0084402E" w14:paraId="03AA7463" w14:textId="77777777" w:rsidTr="009E522D">
        <w:tc>
          <w:tcPr>
            <w:cnfStyle w:val="001000000000" w:firstRow="0" w:lastRow="0" w:firstColumn="1" w:lastColumn="0" w:oddVBand="0" w:evenVBand="0" w:oddHBand="0" w:evenHBand="0" w:firstRowFirstColumn="0" w:firstRowLastColumn="0" w:lastRowFirstColumn="0" w:lastRowLastColumn="0"/>
            <w:tcW w:w="2038" w:type="dxa"/>
          </w:tcPr>
          <w:p w14:paraId="6F0390F7" w14:textId="77777777" w:rsidR="007A21ED" w:rsidRPr="0084402E" w:rsidRDefault="007A21ED" w:rsidP="00B01E67">
            <w:pPr>
              <w:autoSpaceDE w:val="0"/>
              <w:autoSpaceDN w:val="0"/>
              <w:adjustRightInd w:val="0"/>
              <w:jc w:val="both"/>
              <w:rPr>
                <w:rFonts w:ascii="Arial" w:hAnsi="Arial" w:cs="Arial"/>
                <w:b w:val="0"/>
                <w:color w:val="000000"/>
                <w:sz w:val="24"/>
                <w:szCs w:val="24"/>
              </w:rPr>
            </w:pPr>
            <w:r w:rsidRPr="0084402E">
              <w:rPr>
                <w:rFonts w:ascii="Arial" w:hAnsi="Arial" w:cs="Arial"/>
                <w:b w:val="0"/>
                <w:color w:val="000000"/>
                <w:sz w:val="24"/>
                <w:szCs w:val="24"/>
              </w:rPr>
              <w:t>Página web</w:t>
            </w:r>
          </w:p>
        </w:tc>
        <w:tc>
          <w:tcPr>
            <w:tcW w:w="2039" w:type="dxa"/>
            <w:gridSpan w:val="2"/>
          </w:tcPr>
          <w:p w14:paraId="76DD379B" w14:textId="77777777" w:rsidR="007A21ED" w:rsidRPr="0084402E" w:rsidRDefault="007A21ED"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84402E">
              <w:rPr>
                <w:rFonts w:ascii="Arial" w:hAnsi="Arial" w:cs="Arial"/>
                <w:bCs/>
                <w:color w:val="000000"/>
                <w:sz w:val="24"/>
                <w:szCs w:val="24"/>
              </w:rPr>
              <w:t>INDETEC</w:t>
            </w:r>
          </w:p>
        </w:tc>
        <w:tc>
          <w:tcPr>
            <w:tcW w:w="5998" w:type="dxa"/>
          </w:tcPr>
          <w:p w14:paraId="1FAB3A75" w14:textId="4A2A9725" w:rsidR="007A21ED" w:rsidRPr="0084402E" w:rsidRDefault="007A21ED"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Evaluación Estratégica de Consistencia y</w:t>
            </w:r>
            <w:r w:rsidR="00263503" w:rsidRPr="0084402E">
              <w:rPr>
                <w:rFonts w:ascii="Arial" w:hAnsi="Arial" w:cs="Arial"/>
                <w:sz w:val="24"/>
                <w:szCs w:val="24"/>
              </w:rPr>
              <w:t xml:space="preserve"> </w:t>
            </w:r>
            <w:r w:rsidRPr="0084402E">
              <w:rPr>
                <w:rFonts w:ascii="Arial" w:hAnsi="Arial" w:cs="Arial"/>
                <w:sz w:val="24"/>
                <w:szCs w:val="24"/>
              </w:rPr>
              <w:t>Resultados del Fondo de Aportaciones para la</w:t>
            </w:r>
            <w:r w:rsidR="00263503" w:rsidRPr="0084402E">
              <w:rPr>
                <w:rFonts w:ascii="Arial" w:hAnsi="Arial" w:cs="Arial"/>
                <w:sz w:val="24"/>
                <w:szCs w:val="24"/>
              </w:rPr>
              <w:t xml:space="preserve"> </w:t>
            </w:r>
            <w:r w:rsidRPr="0084402E">
              <w:rPr>
                <w:rFonts w:ascii="Arial" w:hAnsi="Arial" w:cs="Arial"/>
                <w:sz w:val="24"/>
                <w:szCs w:val="24"/>
              </w:rPr>
              <w:t>Educación Tecnológica y de Adultos “FAETA”Subfondo: “Educación y Capacitación para Adultos Ejercicio 2013. Octubre de2014.</w:t>
            </w:r>
          </w:p>
          <w:p w14:paraId="06EE6BCE" w14:textId="77777777" w:rsidR="007A21ED" w:rsidRPr="0084402E" w:rsidRDefault="002A7AE0"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hyperlink r:id="rId21" w:history="1">
              <w:r w:rsidR="007A21ED" w:rsidRPr="0084402E">
                <w:rPr>
                  <w:rStyle w:val="Hipervnculo"/>
                  <w:rFonts w:ascii="Arial" w:hAnsi="Arial" w:cs="Arial"/>
                  <w:sz w:val="24"/>
                  <w:szCs w:val="24"/>
                </w:rPr>
                <w:t>http://www.yucatan.gob.mx/transparencia/evaluacion_desempeno.php</w:t>
              </w:r>
            </w:hyperlink>
            <w:r w:rsidR="007A21ED" w:rsidRPr="0084402E">
              <w:rPr>
                <w:rFonts w:ascii="Arial" w:hAnsi="Arial" w:cs="Arial"/>
                <w:color w:val="000000"/>
                <w:sz w:val="24"/>
                <w:szCs w:val="24"/>
              </w:rPr>
              <w:t xml:space="preserve"> </w:t>
            </w:r>
          </w:p>
        </w:tc>
      </w:tr>
      <w:tr w:rsidR="007A21ED" w:rsidRPr="0084402E" w14:paraId="5A1E533B" w14:textId="77777777" w:rsidTr="009E5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3D3FB66F" w14:textId="77777777" w:rsidR="007A21ED" w:rsidRPr="0084402E" w:rsidRDefault="007A21ED" w:rsidP="00B01E67">
            <w:pPr>
              <w:autoSpaceDE w:val="0"/>
              <w:autoSpaceDN w:val="0"/>
              <w:adjustRightInd w:val="0"/>
              <w:jc w:val="both"/>
              <w:rPr>
                <w:rFonts w:ascii="Arial" w:hAnsi="Arial" w:cs="Arial"/>
                <w:b w:val="0"/>
                <w:color w:val="000000"/>
                <w:sz w:val="24"/>
                <w:szCs w:val="24"/>
              </w:rPr>
            </w:pPr>
            <w:r w:rsidRPr="0084402E">
              <w:rPr>
                <w:rFonts w:ascii="Arial" w:hAnsi="Arial" w:cs="Arial"/>
                <w:b w:val="0"/>
                <w:color w:val="000000"/>
                <w:sz w:val="24"/>
                <w:szCs w:val="24"/>
              </w:rPr>
              <w:lastRenderedPageBreak/>
              <w:t>Página web</w:t>
            </w:r>
          </w:p>
        </w:tc>
        <w:tc>
          <w:tcPr>
            <w:tcW w:w="2039" w:type="dxa"/>
            <w:gridSpan w:val="2"/>
          </w:tcPr>
          <w:p w14:paraId="50468A34" w14:textId="77777777" w:rsidR="007A21ED" w:rsidRPr="0084402E" w:rsidRDefault="007A21ED" w:rsidP="00B01E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4"/>
                <w:szCs w:val="24"/>
              </w:rPr>
            </w:pPr>
            <w:r w:rsidRPr="0084402E">
              <w:rPr>
                <w:rFonts w:ascii="Arial" w:hAnsi="Arial" w:cs="Arial"/>
                <w:bCs/>
                <w:color w:val="000000"/>
                <w:sz w:val="24"/>
                <w:szCs w:val="24"/>
              </w:rPr>
              <w:t>INEA</w:t>
            </w:r>
          </w:p>
        </w:tc>
        <w:tc>
          <w:tcPr>
            <w:tcW w:w="5998" w:type="dxa"/>
          </w:tcPr>
          <w:p w14:paraId="3D30CA7A" w14:textId="77777777" w:rsidR="007A21ED" w:rsidRPr="0084402E" w:rsidRDefault="007A21ED" w:rsidP="00B01E6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rPr>
            </w:pPr>
            <w:r w:rsidRPr="0084402E">
              <w:rPr>
                <w:rFonts w:ascii="Arial" w:eastAsiaTheme="minorEastAsia" w:hAnsi="Arial" w:cs="Arial"/>
                <w:sz w:val="24"/>
                <w:szCs w:val="24"/>
              </w:rPr>
              <w:t>Estimaciones de rezago educativo por entidad federativa al 31 de diciembre de 2013 y al 31 de diciembre de 2014:</w:t>
            </w:r>
          </w:p>
          <w:p w14:paraId="13D47F24" w14:textId="77777777" w:rsidR="007A21ED" w:rsidRPr="0084402E" w:rsidRDefault="002A7AE0" w:rsidP="00B01E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hyperlink r:id="rId22" w:history="1">
              <w:r w:rsidR="007A21ED" w:rsidRPr="0084402E">
                <w:rPr>
                  <w:rStyle w:val="Hipervnculo"/>
                  <w:rFonts w:ascii="Arial" w:eastAsiaTheme="minorEastAsia" w:hAnsi="Arial" w:cs="Arial"/>
                  <w:sz w:val="24"/>
                  <w:szCs w:val="24"/>
                </w:rPr>
                <w:t>http://www.inea.gob.mx/transparencia/pdf/Estimacion_rezago_2013.pdf</w:t>
              </w:r>
            </w:hyperlink>
            <w:r w:rsidR="007A21ED" w:rsidRPr="0084402E">
              <w:rPr>
                <w:rFonts w:ascii="Arial" w:hAnsi="Arial" w:cs="Arial"/>
                <w:sz w:val="24"/>
                <w:szCs w:val="24"/>
              </w:rPr>
              <w:t xml:space="preserve"> </w:t>
            </w:r>
            <w:hyperlink r:id="rId23" w:history="1">
              <w:r w:rsidR="007A21ED" w:rsidRPr="0084402E">
                <w:rPr>
                  <w:rStyle w:val="Hipervnculo"/>
                  <w:rFonts w:ascii="Arial" w:eastAsiaTheme="minorEastAsia" w:hAnsi="Arial" w:cs="Arial"/>
                  <w:sz w:val="24"/>
                  <w:szCs w:val="24"/>
                </w:rPr>
                <w:t>http://www.inea.gob.mx/transparencia/pdf/Estimacion_rezago_2014.pdf</w:t>
              </w:r>
            </w:hyperlink>
          </w:p>
        </w:tc>
      </w:tr>
      <w:tr w:rsidR="007A21ED" w:rsidRPr="0084402E" w14:paraId="0F8D69ED" w14:textId="77777777" w:rsidTr="009E522D">
        <w:tc>
          <w:tcPr>
            <w:cnfStyle w:val="001000000000" w:firstRow="0" w:lastRow="0" w:firstColumn="1" w:lastColumn="0" w:oddVBand="0" w:evenVBand="0" w:oddHBand="0" w:evenHBand="0" w:firstRowFirstColumn="0" w:firstRowLastColumn="0" w:lastRowFirstColumn="0" w:lastRowLastColumn="0"/>
            <w:tcW w:w="2038" w:type="dxa"/>
          </w:tcPr>
          <w:p w14:paraId="586BDF64" w14:textId="77777777" w:rsidR="007A21ED" w:rsidRPr="0084402E" w:rsidRDefault="005F3395" w:rsidP="00B01E67">
            <w:pPr>
              <w:autoSpaceDE w:val="0"/>
              <w:autoSpaceDN w:val="0"/>
              <w:adjustRightInd w:val="0"/>
              <w:jc w:val="both"/>
              <w:rPr>
                <w:rFonts w:ascii="Arial" w:hAnsi="Arial" w:cs="Arial"/>
                <w:b w:val="0"/>
                <w:color w:val="000000"/>
                <w:sz w:val="24"/>
                <w:szCs w:val="24"/>
              </w:rPr>
            </w:pPr>
            <w:r w:rsidRPr="0084402E">
              <w:rPr>
                <w:rFonts w:ascii="Arial" w:hAnsi="Arial" w:cs="Arial"/>
                <w:b w:val="0"/>
                <w:color w:val="000000"/>
                <w:sz w:val="24"/>
                <w:szCs w:val="24"/>
              </w:rPr>
              <w:t>Página web</w:t>
            </w:r>
          </w:p>
        </w:tc>
        <w:tc>
          <w:tcPr>
            <w:tcW w:w="2039" w:type="dxa"/>
            <w:gridSpan w:val="2"/>
          </w:tcPr>
          <w:p w14:paraId="3D65DAD1" w14:textId="77777777" w:rsidR="007A21ED" w:rsidRPr="0084402E" w:rsidRDefault="007A21ED"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84402E">
              <w:rPr>
                <w:rFonts w:ascii="Arial" w:hAnsi="Arial" w:cs="Arial"/>
                <w:bCs/>
                <w:color w:val="000000"/>
                <w:sz w:val="24"/>
                <w:szCs w:val="24"/>
              </w:rPr>
              <w:t>SHCP</w:t>
            </w:r>
          </w:p>
        </w:tc>
        <w:tc>
          <w:tcPr>
            <w:tcW w:w="5998" w:type="dxa"/>
          </w:tcPr>
          <w:p w14:paraId="07885574" w14:textId="77777777" w:rsidR="007A21ED" w:rsidRPr="0084402E" w:rsidRDefault="007A21ED"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Metodología para el cálculo de la estimación del rezago educativo anual del INEA:</w:t>
            </w:r>
          </w:p>
          <w:p w14:paraId="1442E83C" w14:textId="77777777" w:rsidR="007A21ED" w:rsidRPr="0084402E" w:rsidRDefault="002A7AE0" w:rsidP="00B01E6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24" w:history="1">
              <w:r w:rsidR="007A21ED" w:rsidRPr="0084402E">
                <w:rPr>
                  <w:rStyle w:val="Hipervnculo"/>
                  <w:rFonts w:ascii="Arial" w:hAnsi="Arial" w:cs="Arial"/>
                  <w:sz w:val="24"/>
                  <w:szCs w:val="24"/>
                </w:rPr>
                <w:t>http://www.inea.gob.mx/transparencia/pdf/Metodologia_rezago_educativo_act_2015.pdf</w:t>
              </w:r>
            </w:hyperlink>
          </w:p>
          <w:p w14:paraId="65D3F5E6" w14:textId="77777777" w:rsidR="007A21ED" w:rsidRPr="0084402E" w:rsidRDefault="007A21ED"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r w:rsidR="005F3395" w:rsidRPr="0084402E" w14:paraId="7EC77921" w14:textId="77777777" w:rsidTr="009E5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3F2555C1" w14:textId="77777777" w:rsidR="005F3395" w:rsidRPr="0084402E" w:rsidRDefault="005F3395" w:rsidP="00B01E67">
            <w:pPr>
              <w:autoSpaceDE w:val="0"/>
              <w:autoSpaceDN w:val="0"/>
              <w:adjustRightInd w:val="0"/>
              <w:jc w:val="both"/>
              <w:rPr>
                <w:rFonts w:ascii="Arial" w:hAnsi="Arial" w:cs="Arial"/>
                <w:b w:val="0"/>
                <w:color w:val="000000"/>
                <w:sz w:val="24"/>
                <w:szCs w:val="24"/>
              </w:rPr>
            </w:pPr>
            <w:r w:rsidRPr="0084402E">
              <w:rPr>
                <w:rFonts w:ascii="Arial" w:hAnsi="Arial" w:cs="Arial"/>
                <w:b w:val="0"/>
                <w:color w:val="000000"/>
                <w:sz w:val="24"/>
                <w:szCs w:val="24"/>
              </w:rPr>
              <w:t>Página web</w:t>
            </w:r>
          </w:p>
        </w:tc>
        <w:tc>
          <w:tcPr>
            <w:tcW w:w="2039" w:type="dxa"/>
            <w:gridSpan w:val="2"/>
          </w:tcPr>
          <w:p w14:paraId="1657B0D9" w14:textId="77777777" w:rsidR="005F3395" w:rsidRPr="0084402E" w:rsidRDefault="005F3395" w:rsidP="00B01E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4"/>
                <w:szCs w:val="24"/>
              </w:rPr>
            </w:pPr>
            <w:r w:rsidRPr="0084402E">
              <w:rPr>
                <w:rFonts w:ascii="Arial" w:hAnsi="Arial" w:cs="Arial"/>
                <w:bCs/>
                <w:color w:val="000000"/>
                <w:sz w:val="24"/>
                <w:szCs w:val="24"/>
              </w:rPr>
              <w:t>SHCP</w:t>
            </w:r>
          </w:p>
        </w:tc>
        <w:tc>
          <w:tcPr>
            <w:tcW w:w="5998" w:type="dxa"/>
          </w:tcPr>
          <w:p w14:paraId="3D281F3E" w14:textId="77777777" w:rsidR="005F3395" w:rsidRPr="0084402E" w:rsidRDefault="005F3395" w:rsidP="00B01E6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 (DOF: 24 de diciembre de 2013)</w:t>
            </w:r>
          </w:p>
          <w:p w14:paraId="47436005" w14:textId="77777777" w:rsidR="005F3395" w:rsidRPr="0084402E" w:rsidRDefault="002A7AE0" w:rsidP="00B01E6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s-MX"/>
              </w:rPr>
            </w:pPr>
            <w:hyperlink r:id="rId25" w:history="1">
              <w:r w:rsidR="005F3395" w:rsidRPr="0084402E">
                <w:rPr>
                  <w:rStyle w:val="Hipervnculo"/>
                  <w:rFonts w:ascii="Arial" w:eastAsia="Times New Roman" w:hAnsi="Arial" w:cs="Arial"/>
                  <w:sz w:val="24"/>
                  <w:szCs w:val="24"/>
                  <w:lang w:eastAsia="es-MX"/>
                </w:rPr>
                <w:t>http://dof.gob.mx/nota_detalle.php?codigo=5327835&amp;fecha=24/12/2013</w:t>
              </w:r>
            </w:hyperlink>
            <w:r w:rsidR="005F3395" w:rsidRPr="0084402E">
              <w:rPr>
                <w:rFonts w:ascii="Arial" w:eastAsia="Times New Roman" w:hAnsi="Arial" w:cs="Arial"/>
                <w:color w:val="000000"/>
                <w:sz w:val="24"/>
                <w:szCs w:val="24"/>
                <w:lang w:eastAsia="es-MX"/>
              </w:rPr>
              <w:t xml:space="preserve"> </w:t>
            </w:r>
          </w:p>
        </w:tc>
      </w:tr>
      <w:tr w:rsidR="005F3395" w:rsidRPr="0084402E" w14:paraId="1A0F7165" w14:textId="77777777" w:rsidTr="009E522D">
        <w:tc>
          <w:tcPr>
            <w:cnfStyle w:val="001000000000" w:firstRow="0" w:lastRow="0" w:firstColumn="1" w:lastColumn="0" w:oddVBand="0" w:evenVBand="0" w:oddHBand="0" w:evenHBand="0" w:firstRowFirstColumn="0" w:firstRowLastColumn="0" w:lastRowFirstColumn="0" w:lastRowLastColumn="0"/>
            <w:tcW w:w="2038" w:type="dxa"/>
          </w:tcPr>
          <w:p w14:paraId="457ED49C" w14:textId="77777777" w:rsidR="005F3395" w:rsidRPr="0084402E" w:rsidRDefault="005F3395" w:rsidP="00B01E67">
            <w:pPr>
              <w:autoSpaceDE w:val="0"/>
              <w:autoSpaceDN w:val="0"/>
              <w:adjustRightInd w:val="0"/>
              <w:jc w:val="both"/>
              <w:rPr>
                <w:rFonts w:ascii="Arial" w:hAnsi="Arial" w:cs="Arial"/>
                <w:b w:val="0"/>
                <w:color w:val="000000"/>
                <w:sz w:val="24"/>
                <w:szCs w:val="24"/>
              </w:rPr>
            </w:pPr>
            <w:r w:rsidRPr="0084402E">
              <w:rPr>
                <w:rFonts w:ascii="Arial" w:hAnsi="Arial" w:cs="Arial"/>
                <w:b w:val="0"/>
                <w:color w:val="000000"/>
                <w:sz w:val="24"/>
                <w:szCs w:val="24"/>
              </w:rPr>
              <w:t>Página web</w:t>
            </w:r>
          </w:p>
        </w:tc>
        <w:tc>
          <w:tcPr>
            <w:tcW w:w="2039" w:type="dxa"/>
            <w:gridSpan w:val="2"/>
          </w:tcPr>
          <w:p w14:paraId="2DAF349F" w14:textId="77777777" w:rsidR="005F3395" w:rsidRPr="0084402E" w:rsidRDefault="005F3395"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84402E">
              <w:rPr>
                <w:rFonts w:ascii="Arial" w:hAnsi="Arial" w:cs="Arial"/>
                <w:bCs/>
                <w:color w:val="000000"/>
                <w:sz w:val="24"/>
                <w:szCs w:val="24"/>
              </w:rPr>
              <w:t>SHCP</w:t>
            </w:r>
          </w:p>
        </w:tc>
        <w:tc>
          <w:tcPr>
            <w:tcW w:w="5998" w:type="dxa"/>
          </w:tcPr>
          <w:p w14:paraId="35828A55" w14:textId="77777777" w:rsidR="005F3395" w:rsidRPr="0084402E" w:rsidRDefault="005F3395"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Informes de la Situación Económica, de las Finanzas Públicas y la Deuda Pública  correspondientres a los cuatro  trimestres de 2014 de la Secretaría de la Hacienda y Crédito Público</w:t>
            </w:r>
          </w:p>
          <w:p w14:paraId="6C01BF29" w14:textId="77777777" w:rsidR="005F3395" w:rsidRPr="0084402E" w:rsidRDefault="002A7AE0"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hyperlink r:id="rId26" w:history="1">
              <w:r w:rsidR="005F3395" w:rsidRPr="0084402E">
                <w:rPr>
                  <w:rStyle w:val="Hipervnculo"/>
                  <w:rFonts w:ascii="Arial" w:hAnsi="Arial" w:cs="Arial"/>
                  <w:sz w:val="24"/>
                  <w:szCs w:val="24"/>
                </w:rPr>
                <w:t>http://www.hacienda.gob.mx/POLITICAFINANCIERA/FINANZASPUBLICAS/ITSSEFPDP/14/Paginas/1er_Trimestre_2014.aspx</w:t>
              </w:r>
            </w:hyperlink>
            <w:r w:rsidR="005F3395" w:rsidRPr="0084402E">
              <w:rPr>
                <w:rFonts w:ascii="Arial" w:hAnsi="Arial" w:cs="Arial"/>
                <w:color w:val="000000"/>
                <w:sz w:val="24"/>
                <w:szCs w:val="24"/>
              </w:rPr>
              <w:t xml:space="preserve"> </w:t>
            </w:r>
          </w:p>
        </w:tc>
      </w:tr>
      <w:tr w:rsidR="005F3395" w:rsidRPr="0084402E" w14:paraId="3605914E" w14:textId="77777777" w:rsidTr="009E5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5D7DFFF0" w14:textId="77777777" w:rsidR="005F3395" w:rsidRPr="0084402E" w:rsidRDefault="005F3395" w:rsidP="00B01E67">
            <w:pPr>
              <w:autoSpaceDE w:val="0"/>
              <w:autoSpaceDN w:val="0"/>
              <w:adjustRightInd w:val="0"/>
              <w:jc w:val="both"/>
              <w:rPr>
                <w:rFonts w:ascii="Arial" w:hAnsi="Arial" w:cs="Arial"/>
                <w:b w:val="0"/>
                <w:color w:val="000000"/>
                <w:sz w:val="24"/>
                <w:szCs w:val="24"/>
              </w:rPr>
            </w:pPr>
            <w:r w:rsidRPr="0084402E">
              <w:rPr>
                <w:rFonts w:ascii="Arial" w:hAnsi="Arial" w:cs="Arial"/>
                <w:b w:val="0"/>
                <w:color w:val="000000"/>
                <w:sz w:val="24"/>
                <w:szCs w:val="24"/>
              </w:rPr>
              <w:lastRenderedPageBreak/>
              <w:t>Pagina web</w:t>
            </w:r>
          </w:p>
        </w:tc>
        <w:tc>
          <w:tcPr>
            <w:tcW w:w="2039" w:type="dxa"/>
            <w:gridSpan w:val="2"/>
          </w:tcPr>
          <w:p w14:paraId="45D088A2" w14:textId="77777777" w:rsidR="005F3395" w:rsidRPr="0084402E" w:rsidRDefault="005F3395" w:rsidP="00B01E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4"/>
                <w:szCs w:val="24"/>
              </w:rPr>
            </w:pPr>
            <w:r w:rsidRPr="0084402E">
              <w:rPr>
                <w:rFonts w:ascii="Arial" w:hAnsi="Arial" w:cs="Arial"/>
                <w:bCs/>
                <w:color w:val="000000"/>
                <w:sz w:val="24"/>
                <w:szCs w:val="24"/>
              </w:rPr>
              <w:t>INEE</w:t>
            </w:r>
          </w:p>
        </w:tc>
        <w:tc>
          <w:tcPr>
            <w:tcW w:w="5998" w:type="dxa"/>
          </w:tcPr>
          <w:p w14:paraId="6C167EA6" w14:textId="77777777" w:rsidR="005F3395" w:rsidRPr="0084402E" w:rsidRDefault="005F3395" w:rsidP="00B01E6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84402E">
              <w:rPr>
                <w:rFonts w:ascii="Arial" w:eastAsia="Times New Roman" w:hAnsi="Arial" w:cs="Arial"/>
                <w:color w:val="000000"/>
                <w:sz w:val="24"/>
                <w:szCs w:val="24"/>
                <w:lang w:eastAsia="es-MX"/>
              </w:rPr>
              <w:t xml:space="preserve">Base de Datos de Tablas Estadísticas  del Sistema de Administración del Conocimiento del INEE </w:t>
            </w:r>
            <w:hyperlink r:id="rId27" w:history="1">
              <w:r w:rsidRPr="0084402E">
                <w:rPr>
                  <w:rStyle w:val="Hipervnculo"/>
                  <w:rFonts w:ascii="Arial" w:eastAsia="Times New Roman" w:hAnsi="Arial" w:cs="Arial"/>
                  <w:sz w:val="24"/>
                  <w:szCs w:val="24"/>
                  <w:lang w:eastAsia="es-MX"/>
                </w:rPr>
                <w:t>http://www.inee.edu.mx/tei/search.jsp?query=gasto&amp;fromresult=220</w:t>
              </w:r>
            </w:hyperlink>
          </w:p>
        </w:tc>
      </w:tr>
      <w:tr w:rsidR="005F3395" w:rsidRPr="0084402E" w14:paraId="13437F4F" w14:textId="77777777" w:rsidTr="009E522D">
        <w:tc>
          <w:tcPr>
            <w:cnfStyle w:val="001000000000" w:firstRow="0" w:lastRow="0" w:firstColumn="1" w:lastColumn="0" w:oddVBand="0" w:evenVBand="0" w:oddHBand="0" w:evenHBand="0" w:firstRowFirstColumn="0" w:firstRowLastColumn="0" w:lastRowFirstColumn="0" w:lastRowLastColumn="0"/>
            <w:tcW w:w="2038" w:type="dxa"/>
          </w:tcPr>
          <w:p w14:paraId="0EA41F80" w14:textId="77777777" w:rsidR="005F3395" w:rsidRPr="0084402E" w:rsidRDefault="005F3395" w:rsidP="00B01E67">
            <w:pPr>
              <w:autoSpaceDE w:val="0"/>
              <w:autoSpaceDN w:val="0"/>
              <w:adjustRightInd w:val="0"/>
              <w:jc w:val="both"/>
              <w:rPr>
                <w:rFonts w:ascii="Arial" w:hAnsi="Arial" w:cs="Arial"/>
                <w:b w:val="0"/>
                <w:color w:val="000000"/>
                <w:sz w:val="24"/>
                <w:szCs w:val="24"/>
              </w:rPr>
            </w:pPr>
            <w:r w:rsidRPr="0084402E">
              <w:rPr>
                <w:rFonts w:ascii="Arial" w:hAnsi="Arial" w:cs="Arial"/>
                <w:b w:val="0"/>
                <w:color w:val="000000"/>
                <w:sz w:val="24"/>
                <w:szCs w:val="24"/>
              </w:rPr>
              <w:t>Página web</w:t>
            </w:r>
          </w:p>
        </w:tc>
        <w:tc>
          <w:tcPr>
            <w:tcW w:w="2039" w:type="dxa"/>
            <w:gridSpan w:val="2"/>
          </w:tcPr>
          <w:p w14:paraId="495933E3" w14:textId="77777777" w:rsidR="005F3395" w:rsidRPr="0084402E" w:rsidRDefault="005F3395"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4"/>
                <w:szCs w:val="24"/>
              </w:rPr>
            </w:pPr>
            <w:r w:rsidRPr="0084402E">
              <w:rPr>
                <w:rFonts w:ascii="Arial" w:hAnsi="Arial" w:cs="Arial"/>
                <w:bCs/>
                <w:color w:val="000000"/>
                <w:sz w:val="24"/>
                <w:szCs w:val="24"/>
              </w:rPr>
              <w:t>SHCP</w:t>
            </w:r>
          </w:p>
        </w:tc>
        <w:tc>
          <w:tcPr>
            <w:tcW w:w="5998" w:type="dxa"/>
          </w:tcPr>
          <w:p w14:paraId="7E2862C1" w14:textId="77777777" w:rsidR="005F3395" w:rsidRPr="0084402E" w:rsidRDefault="005F3395" w:rsidP="00B01E6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4402E">
              <w:rPr>
                <w:rFonts w:ascii="Arial" w:hAnsi="Arial" w:cs="Arial"/>
                <w:sz w:val="24"/>
                <w:szCs w:val="24"/>
              </w:rPr>
              <w:t>Anexos de Finanzas Públicas del capítulo XXIII. Informe sobre el Ejercicio, Destino y Resultados de los Recursos Federales Transferidos a las Entidades Federativas y Municipios, de los Informes Trimestrales de la Situación Económica, las Finanzas Públicas y la Deuda Pública de la SHCP correspondientes a los cuatro trimestres de 2014.</w:t>
            </w:r>
          </w:p>
          <w:p w14:paraId="6E617767" w14:textId="77777777" w:rsidR="005F3395" w:rsidRPr="0084402E" w:rsidRDefault="002A7AE0" w:rsidP="00B01E67">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28" w:history="1">
              <w:r w:rsidR="005F3395" w:rsidRPr="0084402E">
                <w:rPr>
                  <w:rStyle w:val="Hipervnculo"/>
                  <w:rFonts w:ascii="Arial" w:hAnsi="Arial" w:cs="Arial"/>
                  <w:sz w:val="24"/>
                  <w:szCs w:val="24"/>
                </w:rPr>
                <w:t>http://www.hacienda.gob.mx/POLITICAFINANCIERA/FINANZASPUBLICAS/ITSSEFPDP/14/Paginas/1er_Trimestre_2014.aspx</w:t>
              </w:r>
            </w:hyperlink>
            <w:r w:rsidR="005F3395" w:rsidRPr="0084402E">
              <w:rPr>
                <w:rFonts w:ascii="Arial" w:hAnsi="Arial" w:cs="Arial"/>
                <w:sz w:val="24"/>
                <w:szCs w:val="24"/>
              </w:rPr>
              <w:t xml:space="preserve"> </w:t>
            </w:r>
          </w:p>
          <w:p w14:paraId="2C2E9CD6" w14:textId="77777777" w:rsidR="005F3395" w:rsidRPr="0084402E" w:rsidRDefault="005F3395" w:rsidP="00B01E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bl>
    <w:p w14:paraId="1F77AAB4" w14:textId="77777777" w:rsidR="00640418" w:rsidRPr="0084402E" w:rsidRDefault="00640418" w:rsidP="00B01E67">
      <w:pPr>
        <w:spacing w:line="360" w:lineRule="auto"/>
        <w:jc w:val="both"/>
        <w:rPr>
          <w:rFonts w:ascii="Arial" w:hAnsi="Arial" w:cs="Arial"/>
          <w:sz w:val="24"/>
          <w:szCs w:val="24"/>
        </w:rPr>
      </w:pPr>
    </w:p>
    <w:p w14:paraId="4CDC8D49" w14:textId="77777777" w:rsidR="00640418" w:rsidRPr="0084402E" w:rsidRDefault="00640418" w:rsidP="006D7BB6">
      <w:pPr>
        <w:spacing w:after="0" w:line="240" w:lineRule="auto"/>
        <w:rPr>
          <w:rFonts w:ascii="Arial" w:hAnsi="Arial" w:cs="Arial"/>
          <w:sz w:val="24"/>
          <w:szCs w:val="24"/>
        </w:rPr>
      </w:pPr>
      <w:r w:rsidRPr="0084402E">
        <w:rPr>
          <w:rFonts w:ascii="Arial" w:hAnsi="Arial" w:cs="Arial"/>
          <w:sz w:val="24"/>
          <w:szCs w:val="24"/>
        </w:rPr>
        <w:br w:type="page"/>
      </w:r>
    </w:p>
    <w:p w14:paraId="442517D0" w14:textId="77777777" w:rsidR="006D7BB6" w:rsidRPr="0084402E" w:rsidRDefault="006D7BB6" w:rsidP="004C0514">
      <w:pPr>
        <w:spacing w:after="0" w:line="360" w:lineRule="auto"/>
        <w:jc w:val="center"/>
        <w:rPr>
          <w:rFonts w:ascii="Arial" w:hAnsi="Arial" w:cs="Arial"/>
          <w:sz w:val="24"/>
          <w:szCs w:val="24"/>
        </w:rPr>
      </w:pPr>
    </w:p>
    <w:p w14:paraId="5E0F6EC9" w14:textId="77777777" w:rsidR="006D7BB6" w:rsidRPr="0084402E" w:rsidRDefault="006D7BB6" w:rsidP="004C0514">
      <w:pPr>
        <w:spacing w:after="0" w:line="360" w:lineRule="auto"/>
        <w:jc w:val="center"/>
        <w:rPr>
          <w:rFonts w:ascii="Arial" w:hAnsi="Arial" w:cs="Arial"/>
          <w:sz w:val="24"/>
          <w:szCs w:val="24"/>
        </w:rPr>
      </w:pPr>
    </w:p>
    <w:p w14:paraId="111A0843" w14:textId="77777777" w:rsidR="006D7BB6" w:rsidRDefault="006D7BB6" w:rsidP="004C0514">
      <w:pPr>
        <w:spacing w:after="0" w:line="360" w:lineRule="auto"/>
        <w:jc w:val="center"/>
        <w:rPr>
          <w:rFonts w:ascii="Arial" w:hAnsi="Arial" w:cs="Arial"/>
          <w:sz w:val="24"/>
          <w:szCs w:val="24"/>
        </w:rPr>
      </w:pPr>
    </w:p>
    <w:p w14:paraId="69C27345" w14:textId="77777777" w:rsidR="00315EF2" w:rsidRDefault="00315EF2" w:rsidP="004C0514">
      <w:pPr>
        <w:spacing w:after="0" w:line="360" w:lineRule="auto"/>
        <w:jc w:val="center"/>
        <w:rPr>
          <w:rFonts w:ascii="Arial" w:hAnsi="Arial" w:cs="Arial"/>
          <w:sz w:val="24"/>
          <w:szCs w:val="24"/>
        </w:rPr>
      </w:pPr>
    </w:p>
    <w:p w14:paraId="63CD0996" w14:textId="77777777" w:rsidR="00315EF2" w:rsidRDefault="00315EF2" w:rsidP="004C0514">
      <w:pPr>
        <w:spacing w:after="0" w:line="360" w:lineRule="auto"/>
        <w:jc w:val="center"/>
        <w:rPr>
          <w:rFonts w:ascii="Arial" w:hAnsi="Arial" w:cs="Arial"/>
          <w:sz w:val="24"/>
          <w:szCs w:val="24"/>
        </w:rPr>
      </w:pPr>
    </w:p>
    <w:p w14:paraId="4BF5BDE5" w14:textId="77777777" w:rsidR="00315EF2" w:rsidRDefault="00315EF2" w:rsidP="004C0514">
      <w:pPr>
        <w:spacing w:after="0" w:line="360" w:lineRule="auto"/>
        <w:jc w:val="center"/>
        <w:rPr>
          <w:rFonts w:ascii="Arial" w:hAnsi="Arial" w:cs="Arial"/>
          <w:sz w:val="24"/>
          <w:szCs w:val="24"/>
        </w:rPr>
      </w:pPr>
    </w:p>
    <w:p w14:paraId="2D82E471" w14:textId="77777777" w:rsidR="00315EF2" w:rsidRDefault="00315EF2" w:rsidP="004C0514">
      <w:pPr>
        <w:spacing w:after="0" w:line="360" w:lineRule="auto"/>
        <w:jc w:val="center"/>
        <w:rPr>
          <w:rFonts w:ascii="Arial" w:hAnsi="Arial" w:cs="Arial"/>
          <w:sz w:val="24"/>
          <w:szCs w:val="24"/>
        </w:rPr>
      </w:pPr>
    </w:p>
    <w:p w14:paraId="11828C42" w14:textId="77777777" w:rsidR="00315EF2" w:rsidRDefault="00315EF2" w:rsidP="004C0514">
      <w:pPr>
        <w:spacing w:after="0" w:line="360" w:lineRule="auto"/>
        <w:jc w:val="center"/>
        <w:rPr>
          <w:rFonts w:ascii="Arial" w:hAnsi="Arial" w:cs="Arial"/>
          <w:sz w:val="24"/>
          <w:szCs w:val="24"/>
        </w:rPr>
      </w:pPr>
    </w:p>
    <w:p w14:paraId="584B8536" w14:textId="77777777" w:rsidR="00315EF2" w:rsidRDefault="00315EF2" w:rsidP="004C0514">
      <w:pPr>
        <w:spacing w:after="0" w:line="360" w:lineRule="auto"/>
        <w:jc w:val="center"/>
        <w:rPr>
          <w:rFonts w:ascii="Arial" w:hAnsi="Arial" w:cs="Arial"/>
          <w:sz w:val="24"/>
          <w:szCs w:val="24"/>
        </w:rPr>
      </w:pPr>
    </w:p>
    <w:p w14:paraId="7782F838" w14:textId="77777777" w:rsidR="00315EF2" w:rsidRPr="0084402E" w:rsidRDefault="00315EF2" w:rsidP="004C0514">
      <w:pPr>
        <w:spacing w:after="0" w:line="360" w:lineRule="auto"/>
        <w:jc w:val="center"/>
        <w:rPr>
          <w:rFonts w:ascii="Arial" w:hAnsi="Arial" w:cs="Arial"/>
          <w:sz w:val="24"/>
          <w:szCs w:val="24"/>
        </w:rPr>
      </w:pPr>
    </w:p>
    <w:p w14:paraId="2EBBB3C1" w14:textId="77777777" w:rsidR="006D7BB6" w:rsidRPr="0084402E" w:rsidRDefault="006D7BB6" w:rsidP="004C0514">
      <w:pPr>
        <w:spacing w:after="0" w:line="360" w:lineRule="auto"/>
        <w:jc w:val="center"/>
        <w:rPr>
          <w:rFonts w:ascii="Arial" w:hAnsi="Arial" w:cs="Arial"/>
          <w:sz w:val="24"/>
          <w:szCs w:val="24"/>
        </w:rPr>
      </w:pPr>
    </w:p>
    <w:p w14:paraId="71EBBC8A" w14:textId="77777777" w:rsidR="006D7BB6" w:rsidRPr="0084402E" w:rsidRDefault="006D7BB6" w:rsidP="004C0514">
      <w:pPr>
        <w:spacing w:after="0" w:line="360" w:lineRule="auto"/>
        <w:jc w:val="center"/>
        <w:rPr>
          <w:rFonts w:ascii="Arial" w:hAnsi="Arial" w:cs="Arial"/>
          <w:sz w:val="24"/>
          <w:szCs w:val="24"/>
        </w:rPr>
      </w:pPr>
    </w:p>
    <w:p w14:paraId="7BACFAA2" w14:textId="77777777" w:rsidR="006D7BB6" w:rsidRPr="0084402E" w:rsidRDefault="006D7BB6" w:rsidP="004C0514">
      <w:pPr>
        <w:spacing w:after="0" w:line="360" w:lineRule="auto"/>
        <w:jc w:val="center"/>
        <w:rPr>
          <w:rFonts w:ascii="Arial" w:hAnsi="Arial" w:cs="Arial"/>
          <w:sz w:val="24"/>
          <w:szCs w:val="24"/>
        </w:rPr>
      </w:pPr>
    </w:p>
    <w:p w14:paraId="36180679" w14:textId="77777777" w:rsidR="006D7BB6" w:rsidRPr="0084402E" w:rsidRDefault="006D7BB6" w:rsidP="004C0514">
      <w:pPr>
        <w:spacing w:after="0" w:line="360" w:lineRule="auto"/>
        <w:jc w:val="center"/>
        <w:rPr>
          <w:rFonts w:ascii="Arial" w:hAnsi="Arial" w:cs="Arial"/>
          <w:sz w:val="24"/>
          <w:szCs w:val="24"/>
        </w:rPr>
      </w:pPr>
    </w:p>
    <w:p w14:paraId="52BD1FE8" w14:textId="77777777" w:rsidR="00640418" w:rsidRPr="0084402E" w:rsidRDefault="006D7BB6" w:rsidP="004C0514">
      <w:pPr>
        <w:spacing w:after="0" w:line="360" w:lineRule="auto"/>
        <w:jc w:val="center"/>
        <w:rPr>
          <w:rFonts w:ascii="Arial" w:hAnsi="Arial" w:cs="Arial"/>
          <w:b/>
          <w:sz w:val="24"/>
          <w:szCs w:val="24"/>
        </w:rPr>
      </w:pPr>
      <w:r w:rsidRPr="0084402E">
        <w:rPr>
          <w:rFonts w:ascii="Arial" w:hAnsi="Arial" w:cs="Arial"/>
          <w:b/>
          <w:sz w:val="24"/>
          <w:szCs w:val="24"/>
        </w:rPr>
        <w:t>ANEXO II</w:t>
      </w:r>
    </w:p>
    <w:p w14:paraId="3C7DD9DA" w14:textId="77777777" w:rsidR="00640418" w:rsidRPr="0084402E" w:rsidRDefault="006D7BB6" w:rsidP="004C0514">
      <w:pPr>
        <w:spacing w:line="360" w:lineRule="auto"/>
        <w:jc w:val="center"/>
        <w:rPr>
          <w:rFonts w:ascii="Arial" w:eastAsiaTheme="minorEastAsia" w:hAnsi="Arial" w:cs="Arial"/>
          <w:b/>
          <w:sz w:val="24"/>
          <w:szCs w:val="24"/>
        </w:rPr>
      </w:pPr>
      <w:r w:rsidRPr="0084402E">
        <w:rPr>
          <w:rFonts w:ascii="Arial" w:eastAsiaTheme="minorEastAsia" w:hAnsi="Arial" w:cs="Arial"/>
          <w:b/>
          <w:sz w:val="24"/>
          <w:szCs w:val="24"/>
        </w:rPr>
        <w:t>DESCRIPCIÓN DEL FONDO</w:t>
      </w:r>
    </w:p>
    <w:p w14:paraId="431B607A" w14:textId="77777777" w:rsidR="00640418" w:rsidRPr="0084402E" w:rsidRDefault="00640418" w:rsidP="004C0514">
      <w:pPr>
        <w:spacing w:after="0" w:line="240" w:lineRule="auto"/>
        <w:rPr>
          <w:rFonts w:ascii="Arial" w:hAnsi="Arial" w:cs="Arial"/>
          <w:sz w:val="24"/>
          <w:szCs w:val="24"/>
        </w:rPr>
      </w:pPr>
      <w:r w:rsidRPr="0084402E">
        <w:rPr>
          <w:rFonts w:ascii="Arial" w:hAnsi="Arial" w:cs="Arial"/>
          <w:sz w:val="24"/>
          <w:szCs w:val="24"/>
        </w:rPr>
        <w:br w:type="page"/>
      </w:r>
    </w:p>
    <w:p w14:paraId="0C5111D3" w14:textId="77777777" w:rsidR="00EC406B" w:rsidRPr="0084402E" w:rsidRDefault="00EC406B" w:rsidP="00EC406B">
      <w:pPr>
        <w:spacing w:after="240"/>
        <w:ind w:left="357"/>
        <w:jc w:val="both"/>
        <w:rPr>
          <w:rFonts w:ascii="Arial" w:hAnsi="Arial" w:cs="Arial"/>
          <w:sz w:val="24"/>
          <w:szCs w:val="24"/>
        </w:rPr>
      </w:pPr>
      <w:r w:rsidRPr="0084402E">
        <w:rPr>
          <w:rFonts w:ascii="Arial" w:hAnsi="Arial" w:cs="Arial"/>
          <w:sz w:val="24"/>
          <w:szCs w:val="24"/>
        </w:rPr>
        <w:lastRenderedPageBreak/>
        <w:t xml:space="preserve">Los Fondos de Aportaciones Federales son recursos que el Gobierno Federal transfiere a estados y municipios para su ejercicio, condicionando su gasto a los fines específicos para los que fueron creados, fines que fueron establecidos en la Ley de Coordinación Fiscal. El FAETA es uno de los Fondos de aportaciones que fueron incorporados en el Ramo 33 a partir del año 1999 en la Ley de Coordinación Fiscal, con el objetivo de que las entidades federativas recibieran recursos económicos complementarios para prestar los servicios de educación tecnológica y de educación para adultos. Así, el Fondo de Aportaciones para la Educación Tecnológica y de Adultos es el fondo No. VI del Ramo 33, y su finalidad está establecida en el artículo 42 de la citada ley: </w:t>
      </w:r>
    </w:p>
    <w:p w14:paraId="1D25758A" w14:textId="77777777" w:rsidR="00EC406B" w:rsidRPr="0084402E" w:rsidRDefault="00EC406B" w:rsidP="00EC406B">
      <w:pPr>
        <w:spacing w:after="240"/>
        <w:ind w:left="357"/>
        <w:jc w:val="both"/>
        <w:rPr>
          <w:rFonts w:ascii="Arial" w:hAnsi="Arial" w:cs="Arial"/>
          <w:sz w:val="24"/>
          <w:szCs w:val="24"/>
        </w:rPr>
      </w:pPr>
      <w:r w:rsidRPr="0084402E">
        <w:rPr>
          <w:rFonts w:ascii="Arial" w:hAnsi="Arial" w:cs="Arial"/>
          <w:sz w:val="24"/>
          <w:szCs w:val="24"/>
        </w:rPr>
        <w:t>“Con cargo a las aportaciones del Fondo de Aportaciones para la Educación Tecnológica y de Adultos que les correspondan, los estados y el Distrito Federal recibirán los recursos económicos complementarios para prestar los servicios de educación tecnológica y de educación para adultos, cuya operación asuman de conformidad con los convenios de coordinación suscritos con el Ejecutivo Federal para la transferencia de los recursos humanos, materiales y financieros necesarios para la prestación de dichos servicios”.</w:t>
      </w:r>
    </w:p>
    <w:p w14:paraId="411AF737" w14:textId="77777777" w:rsidR="00643376" w:rsidRPr="0084402E" w:rsidRDefault="00643376" w:rsidP="00643376">
      <w:pPr>
        <w:spacing w:after="240"/>
        <w:ind w:left="357"/>
        <w:jc w:val="both"/>
        <w:rPr>
          <w:rFonts w:ascii="Arial" w:hAnsi="Arial" w:cs="Arial"/>
          <w:sz w:val="24"/>
          <w:szCs w:val="24"/>
        </w:rPr>
      </w:pPr>
      <w:r w:rsidRPr="0084402E">
        <w:rPr>
          <w:rFonts w:ascii="Arial" w:hAnsi="Arial" w:cs="Arial"/>
          <w:sz w:val="24"/>
          <w:szCs w:val="24"/>
        </w:rPr>
        <w:t xml:space="preserve">En virtud de la distribución competencial que del servicio educativo se tiene entre el gobierno federal y los estados, </w:t>
      </w:r>
      <w:r w:rsidR="008866AB" w:rsidRPr="0084402E">
        <w:rPr>
          <w:rFonts w:ascii="Arial" w:hAnsi="Arial" w:cs="Arial"/>
          <w:sz w:val="24"/>
          <w:szCs w:val="24"/>
        </w:rPr>
        <w:t>el Fondo se ejerce a través de</w:t>
      </w:r>
      <w:r w:rsidR="00B5639B" w:rsidRPr="0084402E">
        <w:rPr>
          <w:rFonts w:ascii="Arial" w:hAnsi="Arial" w:cs="Arial"/>
          <w:sz w:val="24"/>
          <w:szCs w:val="24"/>
        </w:rPr>
        <w:t xml:space="preserve"> programas</w:t>
      </w:r>
      <w:r w:rsidR="008866AB" w:rsidRPr="0084402E">
        <w:rPr>
          <w:rFonts w:ascii="Arial" w:hAnsi="Arial" w:cs="Arial"/>
          <w:sz w:val="24"/>
          <w:szCs w:val="24"/>
        </w:rPr>
        <w:t xml:space="preserve"> que implementan una política educativa </w:t>
      </w:r>
      <w:r w:rsidRPr="0084402E">
        <w:rPr>
          <w:rFonts w:ascii="Arial" w:hAnsi="Arial" w:cs="Arial"/>
          <w:sz w:val="24"/>
          <w:szCs w:val="24"/>
        </w:rPr>
        <w:t>diseñad</w:t>
      </w:r>
      <w:r w:rsidR="008866AB" w:rsidRPr="0084402E">
        <w:rPr>
          <w:rFonts w:ascii="Arial" w:hAnsi="Arial" w:cs="Arial"/>
          <w:sz w:val="24"/>
          <w:szCs w:val="24"/>
        </w:rPr>
        <w:t>a</w:t>
      </w:r>
      <w:r w:rsidRPr="0084402E">
        <w:rPr>
          <w:rFonts w:ascii="Arial" w:hAnsi="Arial" w:cs="Arial"/>
          <w:sz w:val="24"/>
          <w:szCs w:val="24"/>
        </w:rPr>
        <w:t xml:space="preserve"> por el gobierno federal, </w:t>
      </w:r>
      <w:r w:rsidR="00B5639B" w:rsidRPr="0084402E">
        <w:rPr>
          <w:rFonts w:ascii="Arial" w:hAnsi="Arial" w:cs="Arial"/>
          <w:sz w:val="24"/>
          <w:szCs w:val="24"/>
        </w:rPr>
        <w:t xml:space="preserve">a través del </w:t>
      </w:r>
      <w:r w:rsidRPr="0084402E">
        <w:rPr>
          <w:rFonts w:ascii="Arial" w:hAnsi="Arial" w:cs="Arial"/>
          <w:sz w:val="24"/>
          <w:szCs w:val="24"/>
        </w:rPr>
        <w:t xml:space="preserve"> Instituto Nacional de Educación para Adultos, INEA</w:t>
      </w:r>
      <w:r w:rsidR="00B5639B" w:rsidRPr="0084402E">
        <w:rPr>
          <w:rFonts w:ascii="Arial" w:hAnsi="Arial" w:cs="Arial"/>
          <w:sz w:val="24"/>
          <w:szCs w:val="24"/>
        </w:rPr>
        <w:t xml:space="preserve">. </w:t>
      </w:r>
      <w:r w:rsidRPr="0084402E">
        <w:rPr>
          <w:rFonts w:ascii="Arial" w:hAnsi="Arial" w:cs="Arial"/>
          <w:sz w:val="24"/>
          <w:szCs w:val="24"/>
        </w:rPr>
        <w:t xml:space="preserve">Cabe destacar que dicha instancia está sectorizada a la Secretaría de Educación Pública que, de acuerdo con la normatividad, es la dependencia Coordinadora del FAETA. </w:t>
      </w:r>
    </w:p>
    <w:p w14:paraId="428AC8C7" w14:textId="77777777" w:rsidR="000B58B9" w:rsidRPr="0084402E" w:rsidRDefault="000B58B9" w:rsidP="00643376">
      <w:pPr>
        <w:spacing w:after="240"/>
        <w:ind w:left="357"/>
        <w:jc w:val="both"/>
        <w:rPr>
          <w:rFonts w:ascii="Arial" w:hAnsi="Arial" w:cs="Arial"/>
          <w:sz w:val="24"/>
          <w:szCs w:val="24"/>
        </w:rPr>
      </w:pPr>
      <w:r w:rsidRPr="0084402E">
        <w:rPr>
          <w:rFonts w:ascii="Arial" w:hAnsi="Arial" w:cs="Arial"/>
          <w:sz w:val="24"/>
          <w:szCs w:val="24"/>
        </w:rPr>
        <w:t>Los programas de atención a la Demanda de Educación Básica para Adultos y Modelo de Educación para la Vida y el Trabajo, son programas que tienen un diseño federal, siendo el INEA, la instancia normativa, responsable de la planeación y, en algunos casos, de la operación del programa. En la mayoría de las entidades federativas, derivado del proceso de descentralización de estos servicios que dio origen al FAETA y que se materializó a través de los Convenios de coordinación para la descentralización de los servicios de educación para adultos, los programas son operados por los Institutos Estatales de Educación Para los Adultos, creados para ese fin por las legislaturas locales, con recursos del FAETA. Estos programas cuentan con reglas de operación emitidas cada año por el INEA que contienen los lineamientos generales y específicos acerca de los beneficiarios, la coordinación interinstitucional, la mecánica de operación, el ejercicio de los recursos, la evaluación, entre otros aspectos más específicos.</w:t>
      </w:r>
    </w:p>
    <w:p w14:paraId="6145654A" w14:textId="77777777" w:rsidR="000B58B9" w:rsidRPr="0084402E" w:rsidRDefault="008866AB" w:rsidP="000B58B9">
      <w:pPr>
        <w:spacing w:after="240"/>
        <w:ind w:left="357"/>
        <w:jc w:val="both"/>
        <w:rPr>
          <w:rFonts w:ascii="Arial" w:hAnsi="Arial" w:cs="Arial"/>
          <w:sz w:val="24"/>
          <w:szCs w:val="24"/>
        </w:rPr>
      </w:pPr>
      <w:r w:rsidRPr="0084402E">
        <w:rPr>
          <w:rFonts w:ascii="Arial" w:hAnsi="Arial" w:cs="Arial"/>
          <w:sz w:val="24"/>
          <w:szCs w:val="24"/>
        </w:rPr>
        <w:lastRenderedPageBreak/>
        <w:t>Los criterios para la asignación de recursos al FAETA en el Presupuesto de Egresos de la Federación est</w:t>
      </w:r>
      <w:r w:rsidR="000B58B9" w:rsidRPr="0084402E">
        <w:rPr>
          <w:rFonts w:ascii="Arial" w:hAnsi="Arial" w:cs="Arial"/>
          <w:sz w:val="24"/>
          <w:szCs w:val="24"/>
        </w:rPr>
        <w:t xml:space="preserve">án establecidos en el Artículo 43 de la Ley de Coordinación Fiscal, </w:t>
      </w:r>
      <w:r w:rsidR="00A17F48" w:rsidRPr="0084402E">
        <w:rPr>
          <w:rFonts w:ascii="Arial" w:hAnsi="Arial" w:cs="Arial"/>
          <w:sz w:val="24"/>
          <w:szCs w:val="24"/>
        </w:rPr>
        <w:t xml:space="preserve">el monto a distribuir del FAETA entre las entidades federativas </w:t>
      </w:r>
      <w:r w:rsidR="000B58B9" w:rsidRPr="0084402E">
        <w:rPr>
          <w:rFonts w:ascii="Arial" w:hAnsi="Arial" w:cs="Arial"/>
          <w:sz w:val="24"/>
          <w:szCs w:val="24"/>
        </w:rPr>
        <w:t xml:space="preserve">se determina anualmente en el Presupuesto de Egresos de la Federación con base en dos criterios: </w:t>
      </w:r>
    </w:p>
    <w:p w14:paraId="3E4BB069" w14:textId="77777777" w:rsidR="000B58B9" w:rsidRPr="0084402E" w:rsidRDefault="000B58B9" w:rsidP="00EC406B">
      <w:pPr>
        <w:spacing w:after="240"/>
        <w:ind w:left="357"/>
        <w:jc w:val="both"/>
        <w:rPr>
          <w:rFonts w:ascii="Arial" w:hAnsi="Arial" w:cs="Arial"/>
          <w:sz w:val="24"/>
          <w:szCs w:val="24"/>
        </w:rPr>
      </w:pPr>
      <w:r w:rsidRPr="0084402E">
        <w:rPr>
          <w:rFonts w:ascii="Arial" w:hAnsi="Arial" w:cs="Arial"/>
          <w:sz w:val="24"/>
          <w:szCs w:val="24"/>
        </w:rPr>
        <w:t xml:space="preserve">1) A partir de los registros de planteles, de instalaciones educativas y de plantillas de personal. </w:t>
      </w:r>
    </w:p>
    <w:p w14:paraId="78BB6E87" w14:textId="77777777" w:rsidR="00A17F48" w:rsidRPr="0084402E" w:rsidRDefault="000B58B9" w:rsidP="00EC406B">
      <w:pPr>
        <w:spacing w:after="240"/>
        <w:ind w:left="357"/>
        <w:jc w:val="both"/>
        <w:rPr>
          <w:rFonts w:ascii="Arial" w:hAnsi="Arial" w:cs="Arial"/>
          <w:sz w:val="24"/>
          <w:szCs w:val="24"/>
        </w:rPr>
      </w:pPr>
      <w:r w:rsidRPr="0084402E">
        <w:rPr>
          <w:rFonts w:ascii="Arial" w:hAnsi="Arial" w:cs="Arial"/>
          <w:sz w:val="24"/>
          <w:szCs w:val="24"/>
        </w:rPr>
        <w:t>2) Los recursos transferidos a través del FAETA en el ejercicio inmediato anterior, más:</w:t>
      </w:r>
    </w:p>
    <w:p w14:paraId="498C2EB3" w14:textId="77777777" w:rsidR="00A17F48" w:rsidRPr="0084402E" w:rsidRDefault="000B58B9" w:rsidP="00A17F48">
      <w:pPr>
        <w:spacing w:after="240"/>
        <w:ind w:left="357" w:firstLine="351"/>
        <w:jc w:val="both"/>
        <w:rPr>
          <w:rFonts w:ascii="Arial" w:hAnsi="Arial" w:cs="Arial"/>
          <w:sz w:val="24"/>
          <w:szCs w:val="24"/>
        </w:rPr>
      </w:pPr>
      <w:r w:rsidRPr="0084402E">
        <w:rPr>
          <w:rFonts w:ascii="Arial" w:hAnsi="Arial" w:cs="Arial"/>
          <w:sz w:val="24"/>
          <w:szCs w:val="24"/>
        </w:rPr>
        <w:t xml:space="preserve">a. Ampliaciones presupuestarias autorizadas </w:t>
      </w:r>
    </w:p>
    <w:p w14:paraId="21E85408" w14:textId="77777777" w:rsidR="00A17F48" w:rsidRPr="0084402E" w:rsidRDefault="000B58B9" w:rsidP="00A17F48">
      <w:pPr>
        <w:spacing w:after="240"/>
        <w:ind w:left="357" w:firstLine="351"/>
        <w:jc w:val="both"/>
        <w:rPr>
          <w:rFonts w:ascii="Arial" w:hAnsi="Arial" w:cs="Arial"/>
          <w:sz w:val="24"/>
          <w:szCs w:val="24"/>
        </w:rPr>
      </w:pPr>
      <w:r w:rsidRPr="0084402E">
        <w:rPr>
          <w:rFonts w:ascii="Arial" w:hAnsi="Arial" w:cs="Arial"/>
          <w:sz w:val="24"/>
          <w:szCs w:val="24"/>
        </w:rPr>
        <w:t xml:space="preserve">b. Actualización del gasto operativo </w:t>
      </w:r>
    </w:p>
    <w:p w14:paraId="68EC89ED" w14:textId="77777777" w:rsidR="00A17F48" w:rsidRPr="0084402E" w:rsidRDefault="000B58B9" w:rsidP="00A17F48">
      <w:pPr>
        <w:spacing w:after="240"/>
        <w:ind w:left="357"/>
        <w:jc w:val="both"/>
        <w:rPr>
          <w:rFonts w:ascii="Arial" w:hAnsi="Arial" w:cs="Arial"/>
          <w:sz w:val="24"/>
          <w:szCs w:val="24"/>
        </w:rPr>
      </w:pPr>
      <w:r w:rsidRPr="0084402E">
        <w:rPr>
          <w:rFonts w:ascii="Arial" w:hAnsi="Arial" w:cs="Arial"/>
          <w:sz w:val="24"/>
          <w:szCs w:val="24"/>
        </w:rPr>
        <w:t>En este sentido, se observa que la determinación del Fondo a distribuir está basada totalmente en la oferta y en la capacidad</w:t>
      </w:r>
      <w:r w:rsidR="00A17F48" w:rsidRPr="0084402E">
        <w:rPr>
          <w:rFonts w:ascii="Arial" w:hAnsi="Arial" w:cs="Arial"/>
          <w:sz w:val="24"/>
          <w:szCs w:val="24"/>
        </w:rPr>
        <w:t xml:space="preserve"> instalada</w:t>
      </w:r>
      <w:r w:rsidRPr="0084402E">
        <w:rPr>
          <w:rFonts w:ascii="Arial" w:hAnsi="Arial" w:cs="Arial"/>
          <w:sz w:val="24"/>
          <w:szCs w:val="24"/>
        </w:rPr>
        <w:t xml:space="preserve"> de atención a una demanda que en el momento de la definición del monto </w:t>
      </w:r>
      <w:r w:rsidR="00A17F48" w:rsidRPr="0084402E">
        <w:rPr>
          <w:rFonts w:ascii="Arial" w:hAnsi="Arial" w:cs="Arial"/>
          <w:sz w:val="24"/>
          <w:szCs w:val="24"/>
        </w:rPr>
        <w:t xml:space="preserve">total del fondo a distribuir </w:t>
      </w:r>
      <w:r w:rsidRPr="0084402E">
        <w:rPr>
          <w:rFonts w:ascii="Arial" w:hAnsi="Arial" w:cs="Arial"/>
          <w:sz w:val="24"/>
          <w:szCs w:val="24"/>
        </w:rPr>
        <w:t xml:space="preserve">no es tomada en cuenta. </w:t>
      </w:r>
    </w:p>
    <w:p w14:paraId="55742CD4" w14:textId="77777777" w:rsidR="000B58B9" w:rsidRPr="0084402E" w:rsidRDefault="00A17F48" w:rsidP="00A17F48">
      <w:pPr>
        <w:spacing w:after="240"/>
        <w:ind w:left="357"/>
        <w:jc w:val="both"/>
        <w:rPr>
          <w:rFonts w:ascii="Arial" w:hAnsi="Arial" w:cs="Arial"/>
          <w:sz w:val="24"/>
          <w:szCs w:val="24"/>
        </w:rPr>
      </w:pPr>
      <w:r w:rsidRPr="0084402E">
        <w:rPr>
          <w:rFonts w:ascii="Arial" w:hAnsi="Arial" w:cs="Arial"/>
          <w:sz w:val="24"/>
          <w:szCs w:val="24"/>
        </w:rPr>
        <w:t>En el mismo artículo de la LCF se mencionan los criterios p</w:t>
      </w:r>
      <w:r w:rsidR="000B58B9" w:rsidRPr="0084402E">
        <w:rPr>
          <w:rFonts w:ascii="Arial" w:hAnsi="Arial" w:cs="Arial"/>
          <w:sz w:val="24"/>
          <w:szCs w:val="24"/>
        </w:rPr>
        <w:t>ara la distribuci</w:t>
      </w:r>
      <w:r w:rsidRPr="0084402E">
        <w:rPr>
          <w:rFonts w:ascii="Arial" w:hAnsi="Arial" w:cs="Arial"/>
          <w:sz w:val="24"/>
          <w:szCs w:val="24"/>
        </w:rPr>
        <w:t>ón del Fondo entre las entidades federativas:</w:t>
      </w:r>
      <w:r w:rsidR="000B58B9" w:rsidRPr="0084402E">
        <w:rPr>
          <w:rFonts w:ascii="Arial" w:hAnsi="Arial" w:cs="Arial"/>
          <w:sz w:val="24"/>
          <w:szCs w:val="24"/>
        </w:rPr>
        <w:t xml:space="preserve"> “en el caso de la educación para adultos” la determinación y la distribución de los recursos del Fondo “responderá a fórmulas que consideren las prioridades específicas y estrategias compensatorias para el abatimiento del rezago en materia de alfabetización, educación básica y formación para el trabajo”</w:t>
      </w:r>
      <w:r w:rsidRPr="0084402E">
        <w:rPr>
          <w:rFonts w:ascii="Arial" w:hAnsi="Arial" w:cs="Arial"/>
          <w:sz w:val="24"/>
          <w:szCs w:val="24"/>
        </w:rPr>
        <w:t>.</w:t>
      </w:r>
    </w:p>
    <w:p w14:paraId="6157089B" w14:textId="2DC4C4DE" w:rsidR="00BD52F7" w:rsidRPr="0084402E" w:rsidRDefault="00BD52F7">
      <w:pPr>
        <w:spacing w:after="0" w:line="240" w:lineRule="auto"/>
        <w:rPr>
          <w:rFonts w:ascii="Arial" w:hAnsi="Arial" w:cs="Arial"/>
          <w:sz w:val="24"/>
          <w:szCs w:val="24"/>
        </w:rPr>
      </w:pPr>
      <w:r w:rsidRPr="0084402E">
        <w:rPr>
          <w:rFonts w:ascii="Arial" w:hAnsi="Arial" w:cs="Arial"/>
          <w:sz w:val="24"/>
          <w:szCs w:val="24"/>
        </w:rPr>
        <w:br w:type="page"/>
      </w:r>
    </w:p>
    <w:p w14:paraId="70C14154" w14:textId="77777777" w:rsidR="00640418" w:rsidRPr="0084402E" w:rsidRDefault="00640418" w:rsidP="004C0514">
      <w:pPr>
        <w:spacing w:after="0" w:line="360" w:lineRule="auto"/>
        <w:jc w:val="center"/>
        <w:rPr>
          <w:rFonts w:ascii="Arial" w:hAnsi="Arial" w:cs="Arial"/>
          <w:sz w:val="24"/>
          <w:szCs w:val="24"/>
        </w:rPr>
      </w:pPr>
    </w:p>
    <w:p w14:paraId="62F212ED" w14:textId="77777777" w:rsidR="00640418" w:rsidRPr="0084402E" w:rsidRDefault="00640418" w:rsidP="004C0514">
      <w:pPr>
        <w:spacing w:after="0" w:line="360" w:lineRule="auto"/>
        <w:jc w:val="center"/>
        <w:rPr>
          <w:rFonts w:ascii="Arial" w:hAnsi="Arial" w:cs="Arial"/>
          <w:sz w:val="24"/>
          <w:szCs w:val="24"/>
        </w:rPr>
      </w:pPr>
    </w:p>
    <w:p w14:paraId="7BCCE828" w14:textId="77777777" w:rsidR="00640418" w:rsidRPr="0084402E" w:rsidRDefault="00640418" w:rsidP="004C0514">
      <w:pPr>
        <w:spacing w:after="0" w:line="360" w:lineRule="auto"/>
        <w:jc w:val="center"/>
        <w:rPr>
          <w:rFonts w:ascii="Arial" w:hAnsi="Arial" w:cs="Arial"/>
          <w:sz w:val="24"/>
          <w:szCs w:val="24"/>
        </w:rPr>
      </w:pPr>
    </w:p>
    <w:p w14:paraId="7EF35378" w14:textId="77777777" w:rsidR="006D7BB6" w:rsidRDefault="006D7BB6" w:rsidP="004C0514">
      <w:pPr>
        <w:spacing w:after="0" w:line="360" w:lineRule="auto"/>
        <w:jc w:val="center"/>
        <w:rPr>
          <w:rFonts w:ascii="Arial" w:hAnsi="Arial" w:cs="Arial"/>
          <w:sz w:val="24"/>
          <w:szCs w:val="24"/>
        </w:rPr>
      </w:pPr>
    </w:p>
    <w:p w14:paraId="472088C7" w14:textId="77777777" w:rsidR="00197E7F" w:rsidRDefault="00197E7F" w:rsidP="004C0514">
      <w:pPr>
        <w:spacing w:after="0" w:line="360" w:lineRule="auto"/>
        <w:jc w:val="center"/>
        <w:rPr>
          <w:rFonts w:ascii="Arial" w:hAnsi="Arial" w:cs="Arial"/>
          <w:sz w:val="24"/>
          <w:szCs w:val="24"/>
        </w:rPr>
      </w:pPr>
    </w:p>
    <w:p w14:paraId="462C0BF7" w14:textId="77777777" w:rsidR="00197E7F" w:rsidRDefault="00197E7F" w:rsidP="004C0514">
      <w:pPr>
        <w:spacing w:after="0" w:line="360" w:lineRule="auto"/>
        <w:jc w:val="center"/>
        <w:rPr>
          <w:rFonts w:ascii="Arial" w:hAnsi="Arial" w:cs="Arial"/>
          <w:sz w:val="24"/>
          <w:szCs w:val="24"/>
        </w:rPr>
      </w:pPr>
    </w:p>
    <w:p w14:paraId="22D3DC1F" w14:textId="77777777" w:rsidR="00197E7F" w:rsidRDefault="00197E7F" w:rsidP="004C0514">
      <w:pPr>
        <w:spacing w:after="0" w:line="360" w:lineRule="auto"/>
        <w:jc w:val="center"/>
        <w:rPr>
          <w:rFonts w:ascii="Arial" w:hAnsi="Arial" w:cs="Arial"/>
          <w:sz w:val="24"/>
          <w:szCs w:val="24"/>
        </w:rPr>
      </w:pPr>
    </w:p>
    <w:p w14:paraId="34B05F7D" w14:textId="77777777" w:rsidR="00197E7F" w:rsidRDefault="00197E7F" w:rsidP="004C0514">
      <w:pPr>
        <w:spacing w:after="0" w:line="360" w:lineRule="auto"/>
        <w:jc w:val="center"/>
        <w:rPr>
          <w:rFonts w:ascii="Arial" w:hAnsi="Arial" w:cs="Arial"/>
          <w:sz w:val="24"/>
          <w:szCs w:val="24"/>
        </w:rPr>
      </w:pPr>
    </w:p>
    <w:p w14:paraId="6D4C0A29" w14:textId="77777777" w:rsidR="00197E7F" w:rsidRDefault="00197E7F" w:rsidP="004C0514">
      <w:pPr>
        <w:spacing w:after="0" w:line="360" w:lineRule="auto"/>
        <w:jc w:val="center"/>
        <w:rPr>
          <w:rFonts w:ascii="Arial" w:hAnsi="Arial" w:cs="Arial"/>
          <w:sz w:val="24"/>
          <w:szCs w:val="24"/>
        </w:rPr>
      </w:pPr>
    </w:p>
    <w:p w14:paraId="192EB93D" w14:textId="77777777" w:rsidR="00197E7F" w:rsidRPr="0084402E" w:rsidRDefault="00197E7F" w:rsidP="004C0514">
      <w:pPr>
        <w:spacing w:after="0" w:line="360" w:lineRule="auto"/>
        <w:jc w:val="center"/>
        <w:rPr>
          <w:rFonts w:ascii="Arial" w:hAnsi="Arial" w:cs="Arial"/>
          <w:sz w:val="24"/>
          <w:szCs w:val="24"/>
        </w:rPr>
      </w:pPr>
    </w:p>
    <w:p w14:paraId="40F414B3" w14:textId="77777777" w:rsidR="00BD52F7" w:rsidRPr="0084402E" w:rsidRDefault="00BD52F7" w:rsidP="004C0514">
      <w:pPr>
        <w:spacing w:after="0" w:line="360" w:lineRule="auto"/>
        <w:jc w:val="center"/>
        <w:rPr>
          <w:rFonts w:ascii="Arial" w:hAnsi="Arial" w:cs="Arial"/>
          <w:sz w:val="24"/>
          <w:szCs w:val="24"/>
        </w:rPr>
      </w:pPr>
    </w:p>
    <w:p w14:paraId="6ECAE121" w14:textId="77777777" w:rsidR="00BD52F7" w:rsidRPr="0084402E" w:rsidRDefault="00BD52F7" w:rsidP="004C0514">
      <w:pPr>
        <w:spacing w:after="0" w:line="360" w:lineRule="auto"/>
        <w:jc w:val="center"/>
        <w:rPr>
          <w:rFonts w:ascii="Arial" w:hAnsi="Arial" w:cs="Arial"/>
          <w:sz w:val="24"/>
          <w:szCs w:val="24"/>
        </w:rPr>
      </w:pPr>
    </w:p>
    <w:p w14:paraId="46B1956E" w14:textId="77777777" w:rsidR="00BD52F7" w:rsidRPr="0084402E" w:rsidRDefault="00BD52F7" w:rsidP="004C0514">
      <w:pPr>
        <w:spacing w:after="0" w:line="360" w:lineRule="auto"/>
        <w:jc w:val="center"/>
        <w:rPr>
          <w:rFonts w:ascii="Arial" w:hAnsi="Arial" w:cs="Arial"/>
          <w:sz w:val="24"/>
          <w:szCs w:val="24"/>
        </w:rPr>
      </w:pPr>
    </w:p>
    <w:p w14:paraId="57D6160F" w14:textId="77777777" w:rsidR="00640418" w:rsidRPr="0084402E" w:rsidRDefault="006D7BB6" w:rsidP="004C0514">
      <w:pPr>
        <w:spacing w:after="0" w:line="360" w:lineRule="auto"/>
        <w:jc w:val="center"/>
        <w:rPr>
          <w:rFonts w:ascii="Arial" w:hAnsi="Arial" w:cs="Arial"/>
          <w:b/>
          <w:sz w:val="24"/>
          <w:szCs w:val="24"/>
        </w:rPr>
      </w:pPr>
      <w:r w:rsidRPr="0084402E">
        <w:rPr>
          <w:rFonts w:ascii="Arial" w:hAnsi="Arial" w:cs="Arial"/>
          <w:b/>
          <w:sz w:val="24"/>
          <w:szCs w:val="24"/>
        </w:rPr>
        <w:t>ANEXO III</w:t>
      </w:r>
    </w:p>
    <w:p w14:paraId="4B1913D7" w14:textId="77777777" w:rsidR="00A328AE" w:rsidRPr="0084402E" w:rsidRDefault="006D7BB6" w:rsidP="004C0514">
      <w:pPr>
        <w:spacing w:line="360" w:lineRule="auto"/>
        <w:jc w:val="center"/>
        <w:rPr>
          <w:rFonts w:ascii="Arial" w:eastAsiaTheme="minorEastAsia" w:hAnsi="Arial" w:cs="Arial"/>
          <w:b/>
          <w:sz w:val="24"/>
          <w:szCs w:val="24"/>
        </w:rPr>
      </w:pPr>
      <w:r w:rsidRPr="0084402E">
        <w:rPr>
          <w:rFonts w:ascii="Arial" w:eastAsiaTheme="minorEastAsia" w:hAnsi="Arial" w:cs="Arial"/>
          <w:b/>
          <w:sz w:val="24"/>
          <w:szCs w:val="24"/>
        </w:rPr>
        <w:t>ANÁLISIS DE INTERNO QUE INCLUYA: FORTALEZAS, RETOS Y RECOMENDACIONES</w:t>
      </w:r>
    </w:p>
    <w:p w14:paraId="1C1B0982" w14:textId="77777777" w:rsidR="005A58BF" w:rsidRPr="0084402E" w:rsidRDefault="00A328AE" w:rsidP="00C8414F">
      <w:pPr>
        <w:spacing w:after="0" w:line="240" w:lineRule="auto"/>
        <w:rPr>
          <w:rFonts w:ascii="Arial" w:eastAsiaTheme="minorEastAsia" w:hAnsi="Arial" w:cs="Arial"/>
          <w:sz w:val="24"/>
          <w:szCs w:val="24"/>
        </w:rPr>
      </w:pPr>
      <w:r w:rsidRPr="0084402E">
        <w:rPr>
          <w:rFonts w:ascii="Arial" w:eastAsiaTheme="minorEastAsia" w:hAnsi="Arial" w:cs="Arial"/>
          <w:sz w:val="24"/>
          <w:szCs w:val="24"/>
        </w:rPr>
        <w:br w:type="page"/>
      </w:r>
    </w:p>
    <w:p w14:paraId="54487101" w14:textId="77777777" w:rsidR="005A58BF" w:rsidRPr="0084402E" w:rsidRDefault="005A58BF" w:rsidP="005A58BF">
      <w:pPr>
        <w:rPr>
          <w:sz w:val="24"/>
          <w:szCs w:val="24"/>
        </w:rPr>
      </w:pPr>
    </w:p>
    <w:tbl>
      <w:tblPr>
        <w:tblStyle w:val="Tablaconcuadrcula"/>
        <w:tblW w:w="0" w:type="auto"/>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4489"/>
        <w:gridCol w:w="4489"/>
      </w:tblGrid>
      <w:tr w:rsidR="005A58BF" w:rsidRPr="0084402E" w14:paraId="55886523" w14:textId="77777777" w:rsidTr="00C8414F">
        <w:tc>
          <w:tcPr>
            <w:tcW w:w="8978" w:type="dxa"/>
            <w:gridSpan w:val="2"/>
            <w:tcBorders>
              <w:top w:val="single" w:sz="24" w:space="0" w:color="auto"/>
            </w:tcBorders>
          </w:tcPr>
          <w:p w14:paraId="7A2416B7" w14:textId="77777777" w:rsidR="005A58BF" w:rsidRPr="0084402E" w:rsidRDefault="005A58BF" w:rsidP="006E4FEF">
            <w:pPr>
              <w:jc w:val="center"/>
              <w:rPr>
                <w:b/>
                <w:sz w:val="24"/>
                <w:szCs w:val="24"/>
              </w:rPr>
            </w:pPr>
            <w:r w:rsidRPr="0084402E">
              <w:rPr>
                <w:b/>
                <w:sz w:val="24"/>
                <w:szCs w:val="24"/>
              </w:rPr>
              <w:t>Análisis Interno: Fortalezas Debilidades y Recomendaciones</w:t>
            </w:r>
          </w:p>
        </w:tc>
      </w:tr>
      <w:tr w:rsidR="005A58BF" w:rsidRPr="0084402E" w14:paraId="57ECC73D" w14:textId="77777777" w:rsidTr="00C8414F">
        <w:tc>
          <w:tcPr>
            <w:tcW w:w="8978" w:type="dxa"/>
            <w:gridSpan w:val="2"/>
          </w:tcPr>
          <w:p w14:paraId="6C9CD6E4" w14:textId="77777777" w:rsidR="005A58BF" w:rsidRPr="0084402E" w:rsidRDefault="005A58BF" w:rsidP="005A58BF">
            <w:pPr>
              <w:pStyle w:val="Prrafodelista"/>
              <w:numPr>
                <w:ilvl w:val="0"/>
                <w:numId w:val="22"/>
              </w:numPr>
              <w:spacing w:after="0" w:line="240" w:lineRule="auto"/>
              <w:jc w:val="center"/>
              <w:rPr>
                <w:b/>
                <w:sz w:val="24"/>
                <w:szCs w:val="24"/>
              </w:rPr>
            </w:pPr>
            <w:r w:rsidRPr="0084402E">
              <w:rPr>
                <w:b/>
                <w:sz w:val="24"/>
                <w:szCs w:val="24"/>
              </w:rPr>
              <w:t>CARACTERÍSTICAS DEL PROGRAMA Y DEL FONDO</w:t>
            </w:r>
          </w:p>
        </w:tc>
      </w:tr>
      <w:tr w:rsidR="005A58BF" w:rsidRPr="0084402E" w14:paraId="05CDDF78" w14:textId="77777777" w:rsidTr="00C8414F">
        <w:tc>
          <w:tcPr>
            <w:tcW w:w="8978" w:type="dxa"/>
            <w:gridSpan w:val="2"/>
            <w:tcBorders>
              <w:top w:val="single" w:sz="24" w:space="0" w:color="auto"/>
              <w:bottom w:val="single" w:sz="4" w:space="0" w:color="auto"/>
            </w:tcBorders>
          </w:tcPr>
          <w:p w14:paraId="31A443E8" w14:textId="77777777" w:rsidR="005A58BF" w:rsidRPr="0084402E" w:rsidRDefault="005A58BF" w:rsidP="006E4FEF">
            <w:pPr>
              <w:jc w:val="center"/>
              <w:rPr>
                <w:b/>
                <w:sz w:val="24"/>
                <w:szCs w:val="24"/>
              </w:rPr>
            </w:pPr>
            <w:r w:rsidRPr="0084402E">
              <w:rPr>
                <w:b/>
                <w:sz w:val="24"/>
                <w:szCs w:val="24"/>
              </w:rPr>
              <w:t>Fortalezas</w:t>
            </w:r>
          </w:p>
        </w:tc>
      </w:tr>
      <w:tr w:rsidR="005A58BF" w:rsidRPr="0084402E" w14:paraId="72255ACF" w14:textId="77777777" w:rsidTr="00C8414F">
        <w:tc>
          <w:tcPr>
            <w:tcW w:w="8978" w:type="dxa"/>
            <w:gridSpan w:val="2"/>
            <w:tcBorders>
              <w:top w:val="single" w:sz="4" w:space="0" w:color="auto"/>
            </w:tcBorders>
          </w:tcPr>
          <w:p w14:paraId="4602BD4F" w14:textId="77777777" w:rsidR="005A58BF" w:rsidRPr="0084402E" w:rsidRDefault="005A58BF" w:rsidP="006E4FEF">
            <w:pPr>
              <w:jc w:val="both"/>
              <w:rPr>
                <w:sz w:val="24"/>
                <w:szCs w:val="24"/>
              </w:rPr>
            </w:pPr>
            <w:r w:rsidRPr="0084402E">
              <w:rPr>
                <w:sz w:val="24"/>
                <w:szCs w:val="24"/>
              </w:rPr>
              <w:t>El destino de los recursos para la atención del rezago educativo está claramente establecido en la LCF.</w:t>
            </w:r>
          </w:p>
        </w:tc>
      </w:tr>
      <w:tr w:rsidR="005A58BF" w:rsidRPr="0084402E" w14:paraId="5AE5C471" w14:textId="77777777" w:rsidTr="00C8414F">
        <w:tc>
          <w:tcPr>
            <w:tcW w:w="8978" w:type="dxa"/>
            <w:gridSpan w:val="2"/>
            <w:tcBorders>
              <w:top w:val="single" w:sz="4" w:space="0" w:color="auto"/>
            </w:tcBorders>
          </w:tcPr>
          <w:p w14:paraId="1E19B29C" w14:textId="77777777" w:rsidR="005A58BF" w:rsidRPr="0084402E" w:rsidRDefault="005A58BF" w:rsidP="006E4FEF">
            <w:pPr>
              <w:jc w:val="both"/>
              <w:rPr>
                <w:sz w:val="24"/>
                <w:szCs w:val="24"/>
              </w:rPr>
            </w:pPr>
            <w:r w:rsidRPr="0084402E">
              <w:rPr>
                <w:sz w:val="24"/>
                <w:szCs w:val="24"/>
              </w:rPr>
              <w:t xml:space="preserve">La política pública educativa en materia de educación para adultos así como las reglas para su instrumentación están definidas a nivel federal por el INEA, lo que facilita la operación de los programas para la prestación de los servicios. </w:t>
            </w:r>
          </w:p>
        </w:tc>
      </w:tr>
      <w:tr w:rsidR="005A58BF" w:rsidRPr="0084402E" w14:paraId="1D0DA587" w14:textId="77777777" w:rsidTr="00C8414F">
        <w:tc>
          <w:tcPr>
            <w:tcW w:w="8978" w:type="dxa"/>
            <w:gridSpan w:val="2"/>
          </w:tcPr>
          <w:p w14:paraId="3BADFE9D" w14:textId="77777777" w:rsidR="005A58BF" w:rsidRPr="0084402E" w:rsidRDefault="005A58BF" w:rsidP="006E4FEF">
            <w:pPr>
              <w:jc w:val="both"/>
              <w:rPr>
                <w:sz w:val="24"/>
                <w:szCs w:val="24"/>
              </w:rPr>
            </w:pPr>
            <w:r w:rsidRPr="0084402E">
              <w:rPr>
                <w:sz w:val="24"/>
                <w:szCs w:val="24"/>
              </w:rPr>
              <w:t xml:space="preserve">La problemática a atender, el rezago educativo en el estado de Yucatán, está identificada y dimensionada y se incluye en los instrumentos de planeación para el desarrollo de los ámbitos de gobierno responsables de su atención. </w:t>
            </w:r>
          </w:p>
        </w:tc>
      </w:tr>
      <w:tr w:rsidR="005A58BF" w:rsidRPr="0084402E" w14:paraId="59EC80B7" w14:textId="77777777" w:rsidTr="00C8414F">
        <w:tc>
          <w:tcPr>
            <w:tcW w:w="8978" w:type="dxa"/>
            <w:gridSpan w:val="2"/>
          </w:tcPr>
          <w:p w14:paraId="2F93F360" w14:textId="77777777" w:rsidR="005A58BF" w:rsidRPr="0084402E" w:rsidRDefault="005A58BF" w:rsidP="006E4FEF">
            <w:pPr>
              <w:rPr>
                <w:sz w:val="24"/>
                <w:szCs w:val="24"/>
              </w:rPr>
            </w:pPr>
            <w:r w:rsidRPr="0084402E">
              <w:rPr>
                <w:sz w:val="24"/>
                <w:szCs w:val="24"/>
              </w:rPr>
              <w:t>La población potencial está cuantificada por nivel de rezago, por género, por región y por su condición de mayahablantes o no mayahablantes.</w:t>
            </w:r>
          </w:p>
        </w:tc>
      </w:tr>
      <w:tr w:rsidR="005A58BF" w:rsidRPr="0084402E" w14:paraId="2B4E86EF" w14:textId="77777777" w:rsidTr="00C8414F">
        <w:tc>
          <w:tcPr>
            <w:tcW w:w="8978" w:type="dxa"/>
            <w:gridSpan w:val="2"/>
          </w:tcPr>
          <w:p w14:paraId="6112DA53" w14:textId="77777777" w:rsidR="005A58BF" w:rsidRPr="0084402E" w:rsidRDefault="005A58BF" w:rsidP="006E4FEF">
            <w:pPr>
              <w:rPr>
                <w:sz w:val="24"/>
                <w:szCs w:val="24"/>
              </w:rPr>
            </w:pPr>
            <w:r w:rsidRPr="0084402E">
              <w:rPr>
                <w:sz w:val="24"/>
                <w:szCs w:val="24"/>
              </w:rPr>
              <w:t xml:space="preserve">El recurso del FAETA es complementado con recursos de origen estatal. </w:t>
            </w:r>
          </w:p>
        </w:tc>
      </w:tr>
      <w:tr w:rsidR="005A58BF" w:rsidRPr="0084402E" w14:paraId="24A8D158" w14:textId="77777777" w:rsidTr="00C8414F">
        <w:tc>
          <w:tcPr>
            <w:tcW w:w="8978" w:type="dxa"/>
            <w:gridSpan w:val="2"/>
          </w:tcPr>
          <w:p w14:paraId="7E9B3E0F" w14:textId="40B23D42" w:rsidR="005A58BF" w:rsidRPr="0084402E" w:rsidRDefault="005A58BF" w:rsidP="006E4FEF">
            <w:pPr>
              <w:jc w:val="both"/>
              <w:rPr>
                <w:sz w:val="24"/>
                <w:szCs w:val="24"/>
              </w:rPr>
            </w:pPr>
            <w:r w:rsidRPr="0084402E">
              <w:rPr>
                <w:sz w:val="24"/>
                <w:szCs w:val="24"/>
              </w:rPr>
              <w:t>El destino de los recursos y el programa a través del cual se ejercen están plenamente justificados en tanto que los bienes y servicios están claramente orientados a la atención de la problemática del rezago educativo y son la instrumentación de una política federa</w:t>
            </w:r>
            <w:r w:rsidR="005A6619">
              <w:rPr>
                <w:sz w:val="24"/>
                <w:szCs w:val="24"/>
              </w:rPr>
              <w:t>l</w:t>
            </w:r>
            <w:r w:rsidRPr="0084402E">
              <w:rPr>
                <w:sz w:val="24"/>
                <w:szCs w:val="24"/>
              </w:rPr>
              <w:t xml:space="preserve">. </w:t>
            </w:r>
          </w:p>
        </w:tc>
      </w:tr>
      <w:tr w:rsidR="005A58BF" w:rsidRPr="0084402E" w14:paraId="154FD989" w14:textId="77777777" w:rsidTr="00C8414F">
        <w:tc>
          <w:tcPr>
            <w:tcW w:w="4489" w:type="dxa"/>
            <w:tcBorders>
              <w:top w:val="single" w:sz="24" w:space="0" w:color="auto"/>
              <w:bottom w:val="single" w:sz="4" w:space="0" w:color="auto"/>
              <w:right w:val="single" w:sz="24" w:space="0" w:color="auto"/>
            </w:tcBorders>
          </w:tcPr>
          <w:p w14:paraId="7B73D53D" w14:textId="77777777" w:rsidR="005A58BF" w:rsidRPr="0084402E" w:rsidRDefault="005A58BF" w:rsidP="006E4FEF">
            <w:pPr>
              <w:jc w:val="center"/>
              <w:rPr>
                <w:b/>
                <w:sz w:val="24"/>
                <w:szCs w:val="24"/>
              </w:rPr>
            </w:pPr>
            <w:r w:rsidRPr="0084402E">
              <w:rPr>
                <w:b/>
                <w:sz w:val="24"/>
                <w:szCs w:val="24"/>
              </w:rPr>
              <w:t>Retos</w:t>
            </w:r>
          </w:p>
        </w:tc>
        <w:tc>
          <w:tcPr>
            <w:tcW w:w="4489" w:type="dxa"/>
            <w:tcBorders>
              <w:top w:val="single" w:sz="24" w:space="0" w:color="auto"/>
              <w:left w:val="single" w:sz="24" w:space="0" w:color="auto"/>
              <w:bottom w:val="single" w:sz="4" w:space="0" w:color="auto"/>
            </w:tcBorders>
          </w:tcPr>
          <w:p w14:paraId="25C86ED0" w14:textId="77777777" w:rsidR="005A58BF" w:rsidRPr="0084402E" w:rsidRDefault="005A58BF" w:rsidP="006E4FEF">
            <w:pPr>
              <w:jc w:val="center"/>
              <w:rPr>
                <w:b/>
                <w:sz w:val="24"/>
                <w:szCs w:val="24"/>
              </w:rPr>
            </w:pPr>
            <w:r w:rsidRPr="0084402E">
              <w:rPr>
                <w:b/>
                <w:sz w:val="24"/>
                <w:szCs w:val="24"/>
              </w:rPr>
              <w:t>Recomendaciones</w:t>
            </w:r>
          </w:p>
        </w:tc>
      </w:tr>
      <w:tr w:rsidR="005A58BF" w:rsidRPr="0084402E" w14:paraId="492ABC00" w14:textId="77777777" w:rsidTr="00C8414F">
        <w:tc>
          <w:tcPr>
            <w:tcW w:w="4489" w:type="dxa"/>
            <w:tcBorders>
              <w:top w:val="single" w:sz="4" w:space="0" w:color="auto"/>
              <w:bottom w:val="single" w:sz="4" w:space="0" w:color="auto"/>
              <w:right w:val="single" w:sz="24" w:space="0" w:color="auto"/>
            </w:tcBorders>
          </w:tcPr>
          <w:p w14:paraId="33592A8C" w14:textId="7F8AD487" w:rsidR="005A58BF" w:rsidRPr="0084402E" w:rsidRDefault="005A58BF" w:rsidP="00A2224F">
            <w:pPr>
              <w:jc w:val="both"/>
              <w:rPr>
                <w:sz w:val="24"/>
                <w:szCs w:val="24"/>
              </w:rPr>
            </w:pPr>
            <w:r w:rsidRPr="0084402E">
              <w:rPr>
                <w:sz w:val="24"/>
                <w:szCs w:val="24"/>
              </w:rPr>
              <w:t>La dimensión de la problemática es considerablemente mayor a la cap</w:t>
            </w:r>
            <w:r w:rsidR="00263503" w:rsidRPr="0084402E">
              <w:rPr>
                <w:sz w:val="24"/>
                <w:szCs w:val="24"/>
              </w:rPr>
              <w:t>acidad de atención que se tiene;</w:t>
            </w:r>
            <w:r w:rsidRPr="0084402E">
              <w:rPr>
                <w:sz w:val="24"/>
                <w:szCs w:val="24"/>
              </w:rPr>
              <w:t xml:space="preserve"> se puede atender solo al 5% del total del rezago educativo. </w:t>
            </w:r>
          </w:p>
        </w:tc>
        <w:tc>
          <w:tcPr>
            <w:tcW w:w="4489" w:type="dxa"/>
            <w:vMerge w:val="restart"/>
            <w:tcBorders>
              <w:top w:val="single" w:sz="4" w:space="0" w:color="auto"/>
              <w:left w:val="single" w:sz="24" w:space="0" w:color="auto"/>
            </w:tcBorders>
          </w:tcPr>
          <w:p w14:paraId="7EC20529" w14:textId="71AD4680" w:rsidR="000B6F3B" w:rsidRPr="0084402E" w:rsidRDefault="005A58BF" w:rsidP="00A2224F">
            <w:pPr>
              <w:jc w:val="both"/>
              <w:rPr>
                <w:sz w:val="24"/>
                <w:szCs w:val="24"/>
              </w:rPr>
            </w:pPr>
            <w:r w:rsidRPr="0084402E">
              <w:rPr>
                <w:sz w:val="24"/>
                <w:szCs w:val="24"/>
              </w:rPr>
              <w:t xml:space="preserve">Rediseñar la MIR del programa presupuestario estatal para hacer un mejor seguimiento y evaluación del programa que genere información sólida para hacer patente la necesidad de atender con mayores recursos la problemática. </w:t>
            </w:r>
          </w:p>
          <w:p w14:paraId="744D00F5" w14:textId="77777777" w:rsidR="005A58BF" w:rsidRPr="0084402E" w:rsidRDefault="005A58BF" w:rsidP="00A2224F">
            <w:pPr>
              <w:jc w:val="both"/>
              <w:rPr>
                <w:sz w:val="24"/>
                <w:szCs w:val="24"/>
              </w:rPr>
            </w:pPr>
            <w:r w:rsidRPr="0084402E">
              <w:rPr>
                <w:sz w:val="24"/>
                <w:szCs w:val="24"/>
              </w:rPr>
              <w:t xml:space="preserve">Cumplir con la obligación de informar sobre los resultados del ejercicio de los recursos a través de los indicadores </w:t>
            </w:r>
            <w:r w:rsidRPr="0084402E">
              <w:rPr>
                <w:sz w:val="24"/>
                <w:szCs w:val="24"/>
              </w:rPr>
              <w:lastRenderedPageBreak/>
              <w:t xml:space="preserve">definidos de manera coordinada para el Fondo a través del SFU del PASH. </w:t>
            </w:r>
          </w:p>
        </w:tc>
      </w:tr>
      <w:tr w:rsidR="005A58BF" w:rsidRPr="0084402E" w14:paraId="612DAE80" w14:textId="77777777" w:rsidTr="00C8414F">
        <w:tc>
          <w:tcPr>
            <w:tcW w:w="4489" w:type="dxa"/>
            <w:tcBorders>
              <w:top w:val="single" w:sz="4" w:space="0" w:color="auto"/>
              <w:bottom w:val="single" w:sz="4" w:space="0" w:color="auto"/>
              <w:right w:val="single" w:sz="24" w:space="0" w:color="auto"/>
            </w:tcBorders>
          </w:tcPr>
          <w:p w14:paraId="077B35BA" w14:textId="77777777" w:rsidR="005A58BF" w:rsidRPr="0084402E" w:rsidRDefault="005A58BF" w:rsidP="006E4FEF">
            <w:pPr>
              <w:rPr>
                <w:sz w:val="24"/>
                <w:szCs w:val="24"/>
              </w:rPr>
            </w:pPr>
            <w:r w:rsidRPr="0084402E">
              <w:rPr>
                <w:sz w:val="24"/>
                <w:szCs w:val="24"/>
              </w:rPr>
              <w:t>Los recursos son limitados en relación con la dimensión de la problemática</w:t>
            </w:r>
          </w:p>
        </w:tc>
        <w:tc>
          <w:tcPr>
            <w:tcW w:w="4489" w:type="dxa"/>
            <w:vMerge/>
            <w:tcBorders>
              <w:left w:val="single" w:sz="24" w:space="0" w:color="auto"/>
              <w:bottom w:val="single" w:sz="4" w:space="0" w:color="auto"/>
            </w:tcBorders>
          </w:tcPr>
          <w:p w14:paraId="1CC8DF5D" w14:textId="77777777" w:rsidR="005A58BF" w:rsidRPr="0084402E" w:rsidRDefault="005A58BF" w:rsidP="006E4FEF">
            <w:pPr>
              <w:rPr>
                <w:sz w:val="24"/>
                <w:szCs w:val="24"/>
              </w:rPr>
            </w:pPr>
          </w:p>
        </w:tc>
      </w:tr>
      <w:tr w:rsidR="005A58BF" w:rsidRPr="0084402E" w14:paraId="7DF94936" w14:textId="77777777" w:rsidTr="00C8414F">
        <w:tc>
          <w:tcPr>
            <w:tcW w:w="4489" w:type="dxa"/>
            <w:tcBorders>
              <w:top w:val="single" w:sz="4" w:space="0" w:color="auto"/>
              <w:bottom w:val="thickThinSmallGap" w:sz="24" w:space="0" w:color="auto"/>
              <w:right w:val="single" w:sz="24" w:space="0" w:color="auto"/>
            </w:tcBorders>
          </w:tcPr>
          <w:p w14:paraId="308C5BC9" w14:textId="77777777" w:rsidR="005A58BF" w:rsidRPr="0084402E" w:rsidRDefault="005A58BF" w:rsidP="006E4FEF">
            <w:pPr>
              <w:rPr>
                <w:sz w:val="24"/>
                <w:szCs w:val="24"/>
              </w:rPr>
            </w:pPr>
          </w:p>
        </w:tc>
        <w:tc>
          <w:tcPr>
            <w:tcW w:w="4489" w:type="dxa"/>
            <w:tcBorders>
              <w:top w:val="single" w:sz="4" w:space="0" w:color="auto"/>
              <w:left w:val="single" w:sz="24" w:space="0" w:color="auto"/>
              <w:bottom w:val="thickThinSmallGap" w:sz="24" w:space="0" w:color="auto"/>
            </w:tcBorders>
          </w:tcPr>
          <w:p w14:paraId="13AA0E75" w14:textId="77777777" w:rsidR="005A58BF" w:rsidRPr="0084402E" w:rsidRDefault="005A58BF" w:rsidP="006E4FEF">
            <w:pPr>
              <w:rPr>
                <w:sz w:val="24"/>
                <w:szCs w:val="24"/>
              </w:rPr>
            </w:pPr>
          </w:p>
        </w:tc>
      </w:tr>
    </w:tbl>
    <w:p w14:paraId="5F7A8AFC" w14:textId="77777777" w:rsidR="005A58BF" w:rsidRPr="0084402E" w:rsidRDefault="005A58BF" w:rsidP="005A58BF">
      <w:pPr>
        <w:rPr>
          <w:sz w:val="24"/>
          <w:szCs w:val="24"/>
        </w:rPr>
      </w:pPr>
    </w:p>
    <w:p w14:paraId="758AEA86" w14:textId="77777777" w:rsidR="005A58BF" w:rsidRPr="0084402E" w:rsidRDefault="005A58BF" w:rsidP="005A58BF">
      <w:pPr>
        <w:rPr>
          <w:sz w:val="24"/>
          <w:szCs w:val="24"/>
        </w:rPr>
      </w:pPr>
    </w:p>
    <w:p w14:paraId="6D53FF34" w14:textId="77777777" w:rsidR="005A58BF" w:rsidRPr="0084402E" w:rsidRDefault="005A58BF" w:rsidP="005A58BF">
      <w:pPr>
        <w:rPr>
          <w:sz w:val="24"/>
          <w:szCs w:val="24"/>
        </w:rPr>
      </w:pPr>
    </w:p>
    <w:tbl>
      <w:tblPr>
        <w:tblStyle w:val="Tablaconcuadrcula"/>
        <w:tblW w:w="0" w:type="auto"/>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4489"/>
        <w:gridCol w:w="4489"/>
      </w:tblGrid>
      <w:tr w:rsidR="005A58BF" w:rsidRPr="0084402E" w14:paraId="1F7588D1" w14:textId="77777777" w:rsidTr="006E4FEF">
        <w:tc>
          <w:tcPr>
            <w:tcW w:w="8978" w:type="dxa"/>
            <w:gridSpan w:val="2"/>
            <w:tcBorders>
              <w:top w:val="single" w:sz="24" w:space="0" w:color="auto"/>
            </w:tcBorders>
          </w:tcPr>
          <w:p w14:paraId="4A7256B7" w14:textId="77777777" w:rsidR="005A58BF" w:rsidRPr="0084402E" w:rsidRDefault="005A58BF" w:rsidP="006E4FEF">
            <w:pPr>
              <w:jc w:val="center"/>
              <w:rPr>
                <w:sz w:val="24"/>
                <w:szCs w:val="24"/>
              </w:rPr>
            </w:pPr>
            <w:r w:rsidRPr="0084402E">
              <w:rPr>
                <w:sz w:val="24"/>
                <w:szCs w:val="24"/>
              </w:rPr>
              <w:t>Análisis Interno: Fortalezas Debilidades y Recomendaciones</w:t>
            </w:r>
          </w:p>
        </w:tc>
      </w:tr>
      <w:tr w:rsidR="005A58BF" w:rsidRPr="0084402E" w14:paraId="7778CCB2" w14:textId="77777777" w:rsidTr="006E4FEF">
        <w:tc>
          <w:tcPr>
            <w:tcW w:w="8978" w:type="dxa"/>
            <w:gridSpan w:val="2"/>
          </w:tcPr>
          <w:p w14:paraId="7B0E87B3" w14:textId="77777777" w:rsidR="005A58BF" w:rsidRPr="0084402E" w:rsidRDefault="005A58BF" w:rsidP="005A58BF">
            <w:pPr>
              <w:pStyle w:val="Prrafodelista"/>
              <w:numPr>
                <w:ilvl w:val="0"/>
                <w:numId w:val="22"/>
              </w:numPr>
              <w:spacing w:after="0" w:line="240" w:lineRule="auto"/>
              <w:jc w:val="center"/>
              <w:rPr>
                <w:b/>
                <w:sz w:val="24"/>
                <w:szCs w:val="24"/>
              </w:rPr>
            </w:pPr>
            <w:r w:rsidRPr="0084402E">
              <w:rPr>
                <w:b/>
                <w:sz w:val="24"/>
                <w:szCs w:val="24"/>
              </w:rPr>
              <w:t xml:space="preserve"> PLANEACIÓN ESTRATÉGICA</w:t>
            </w:r>
          </w:p>
        </w:tc>
      </w:tr>
      <w:tr w:rsidR="005A58BF" w:rsidRPr="0084402E" w14:paraId="0877ADBB" w14:textId="77777777" w:rsidTr="006E4FEF">
        <w:tc>
          <w:tcPr>
            <w:tcW w:w="8978" w:type="dxa"/>
            <w:gridSpan w:val="2"/>
            <w:tcBorders>
              <w:top w:val="single" w:sz="24" w:space="0" w:color="auto"/>
              <w:bottom w:val="single" w:sz="4" w:space="0" w:color="auto"/>
            </w:tcBorders>
          </w:tcPr>
          <w:p w14:paraId="7051AD71" w14:textId="77777777" w:rsidR="005A58BF" w:rsidRPr="0084402E" w:rsidRDefault="005A58BF" w:rsidP="006E4FEF">
            <w:pPr>
              <w:jc w:val="center"/>
              <w:rPr>
                <w:sz w:val="24"/>
                <w:szCs w:val="24"/>
              </w:rPr>
            </w:pPr>
            <w:r w:rsidRPr="0084402E">
              <w:rPr>
                <w:sz w:val="24"/>
                <w:szCs w:val="24"/>
              </w:rPr>
              <w:t>Fortalezas</w:t>
            </w:r>
          </w:p>
        </w:tc>
      </w:tr>
      <w:tr w:rsidR="005A58BF" w:rsidRPr="0084402E" w14:paraId="1ADC377D" w14:textId="77777777" w:rsidTr="006E4FEF">
        <w:tc>
          <w:tcPr>
            <w:tcW w:w="8978" w:type="dxa"/>
            <w:gridSpan w:val="2"/>
            <w:tcBorders>
              <w:top w:val="single" w:sz="4" w:space="0" w:color="auto"/>
            </w:tcBorders>
          </w:tcPr>
          <w:p w14:paraId="7250A523" w14:textId="22F0C7F4" w:rsidR="005A58BF" w:rsidRPr="0084402E" w:rsidRDefault="00A2224F" w:rsidP="00A2224F">
            <w:pPr>
              <w:jc w:val="both"/>
              <w:rPr>
                <w:sz w:val="24"/>
                <w:szCs w:val="24"/>
              </w:rPr>
            </w:pPr>
            <w:r w:rsidRPr="0084402E">
              <w:rPr>
                <w:sz w:val="24"/>
                <w:szCs w:val="24"/>
              </w:rPr>
              <w:t xml:space="preserve">Los objetivos de la </w:t>
            </w:r>
            <w:r w:rsidR="005A58BF" w:rsidRPr="0084402E">
              <w:rPr>
                <w:sz w:val="24"/>
                <w:szCs w:val="24"/>
              </w:rPr>
              <w:t xml:space="preserve">planeación para el desarrollo de los ámbitos de gobierno responsables de la atención a la problemática del rezago educativo están alineados entre sí, y atienden a la resolución de la problemática. </w:t>
            </w:r>
          </w:p>
        </w:tc>
      </w:tr>
      <w:tr w:rsidR="005A58BF" w:rsidRPr="0084402E" w14:paraId="55337257" w14:textId="77777777" w:rsidTr="006E4FEF">
        <w:tc>
          <w:tcPr>
            <w:tcW w:w="8978" w:type="dxa"/>
            <w:gridSpan w:val="2"/>
          </w:tcPr>
          <w:p w14:paraId="0D496EFC" w14:textId="77CC9AA5" w:rsidR="005A58BF" w:rsidRPr="0084402E" w:rsidRDefault="005A58BF" w:rsidP="00A2224F">
            <w:pPr>
              <w:jc w:val="both"/>
              <w:rPr>
                <w:sz w:val="24"/>
                <w:szCs w:val="24"/>
              </w:rPr>
            </w:pPr>
            <w:r w:rsidRPr="0084402E">
              <w:rPr>
                <w:sz w:val="24"/>
                <w:szCs w:val="24"/>
              </w:rPr>
              <w:t>Los servicios se prestan fundamentalmente a través de un programa pre</w:t>
            </w:r>
            <w:r w:rsidR="00A2224F" w:rsidRPr="0084402E">
              <w:rPr>
                <w:sz w:val="24"/>
                <w:szCs w:val="24"/>
              </w:rPr>
              <w:t xml:space="preserve">supuestario “Rezago Educativo” </w:t>
            </w:r>
            <w:r w:rsidRPr="0084402E">
              <w:rPr>
                <w:sz w:val="24"/>
                <w:szCs w:val="24"/>
              </w:rPr>
              <w:t>cuyo responsable es únicamente el IEAEY</w:t>
            </w:r>
          </w:p>
        </w:tc>
      </w:tr>
      <w:tr w:rsidR="005A58BF" w:rsidRPr="0084402E" w14:paraId="3DB3F2D3" w14:textId="77777777" w:rsidTr="006E4FEF">
        <w:tc>
          <w:tcPr>
            <w:tcW w:w="8978" w:type="dxa"/>
            <w:gridSpan w:val="2"/>
          </w:tcPr>
          <w:p w14:paraId="31B667AC" w14:textId="77777777" w:rsidR="005A58BF" w:rsidRPr="0084402E" w:rsidRDefault="005A58BF" w:rsidP="00A2224F">
            <w:pPr>
              <w:jc w:val="both"/>
              <w:rPr>
                <w:sz w:val="24"/>
                <w:szCs w:val="24"/>
              </w:rPr>
            </w:pPr>
            <w:r w:rsidRPr="0084402E">
              <w:rPr>
                <w:sz w:val="24"/>
                <w:szCs w:val="24"/>
              </w:rPr>
              <w:t>La programación a través del instrumento del POA incluye los objetivos del programa que son consistentes con la atención de la problemática del rezago educativo y con los objetivos establecidos en la planeación para el desarrollo.</w:t>
            </w:r>
          </w:p>
        </w:tc>
      </w:tr>
      <w:tr w:rsidR="005A58BF" w:rsidRPr="0084402E" w14:paraId="6A8975CB" w14:textId="77777777" w:rsidTr="006E4FEF">
        <w:tc>
          <w:tcPr>
            <w:tcW w:w="8978" w:type="dxa"/>
            <w:gridSpan w:val="2"/>
          </w:tcPr>
          <w:p w14:paraId="3B774B1D" w14:textId="77777777" w:rsidR="005A58BF" w:rsidRPr="0084402E" w:rsidRDefault="005A58BF" w:rsidP="00A2224F">
            <w:pPr>
              <w:jc w:val="both"/>
              <w:rPr>
                <w:sz w:val="24"/>
                <w:szCs w:val="24"/>
              </w:rPr>
            </w:pPr>
            <w:r w:rsidRPr="0084402E">
              <w:rPr>
                <w:sz w:val="24"/>
                <w:szCs w:val="24"/>
              </w:rPr>
              <w:t xml:space="preserve">Los instrumentos de programación POA’s contemplan las característica de la población a atender  e incluso la regionalización de la misma. </w:t>
            </w:r>
          </w:p>
        </w:tc>
      </w:tr>
      <w:tr w:rsidR="005A58BF" w:rsidRPr="0084402E" w14:paraId="554CD8CC" w14:textId="77777777" w:rsidTr="006E4FEF">
        <w:tc>
          <w:tcPr>
            <w:tcW w:w="8978" w:type="dxa"/>
            <w:gridSpan w:val="2"/>
          </w:tcPr>
          <w:p w14:paraId="3678D9EB" w14:textId="77777777" w:rsidR="005A58BF" w:rsidRPr="0084402E" w:rsidRDefault="005A58BF" w:rsidP="00A2224F">
            <w:pPr>
              <w:jc w:val="both"/>
              <w:rPr>
                <w:sz w:val="24"/>
                <w:szCs w:val="24"/>
              </w:rPr>
            </w:pPr>
            <w:r w:rsidRPr="0084402E">
              <w:rPr>
                <w:sz w:val="24"/>
                <w:szCs w:val="24"/>
              </w:rPr>
              <w:t xml:space="preserve">El POA de las actividades sustantivas del programa define los bienes y servicios intermedios y finales que se otorgan. </w:t>
            </w:r>
          </w:p>
        </w:tc>
      </w:tr>
      <w:tr w:rsidR="005A58BF" w:rsidRPr="0084402E" w14:paraId="4A3920D8" w14:textId="77777777" w:rsidTr="006E4FEF">
        <w:tc>
          <w:tcPr>
            <w:tcW w:w="8978" w:type="dxa"/>
            <w:gridSpan w:val="2"/>
            <w:tcBorders>
              <w:bottom w:val="single" w:sz="24" w:space="0" w:color="auto"/>
            </w:tcBorders>
          </w:tcPr>
          <w:p w14:paraId="0025EE71" w14:textId="77777777" w:rsidR="005A58BF" w:rsidRPr="0084402E" w:rsidRDefault="005A58BF" w:rsidP="00A2224F">
            <w:pPr>
              <w:jc w:val="both"/>
              <w:rPr>
                <w:sz w:val="24"/>
                <w:szCs w:val="24"/>
              </w:rPr>
            </w:pPr>
          </w:p>
        </w:tc>
      </w:tr>
      <w:tr w:rsidR="005A58BF" w:rsidRPr="0084402E" w14:paraId="5FF7DBE9" w14:textId="77777777" w:rsidTr="006E4FEF">
        <w:tc>
          <w:tcPr>
            <w:tcW w:w="4489" w:type="dxa"/>
            <w:tcBorders>
              <w:top w:val="single" w:sz="24" w:space="0" w:color="auto"/>
              <w:bottom w:val="single" w:sz="4" w:space="0" w:color="auto"/>
              <w:right w:val="single" w:sz="24" w:space="0" w:color="auto"/>
            </w:tcBorders>
          </w:tcPr>
          <w:p w14:paraId="0CADD65D" w14:textId="77777777" w:rsidR="005A58BF" w:rsidRPr="0084402E" w:rsidRDefault="005A58BF" w:rsidP="006E4FEF">
            <w:pPr>
              <w:jc w:val="center"/>
              <w:rPr>
                <w:sz w:val="24"/>
                <w:szCs w:val="24"/>
              </w:rPr>
            </w:pPr>
            <w:r w:rsidRPr="0084402E">
              <w:rPr>
                <w:sz w:val="24"/>
                <w:szCs w:val="24"/>
              </w:rPr>
              <w:t>Retos</w:t>
            </w:r>
          </w:p>
        </w:tc>
        <w:tc>
          <w:tcPr>
            <w:tcW w:w="4489" w:type="dxa"/>
            <w:tcBorders>
              <w:top w:val="single" w:sz="24" w:space="0" w:color="auto"/>
              <w:left w:val="single" w:sz="24" w:space="0" w:color="auto"/>
              <w:bottom w:val="single" w:sz="4" w:space="0" w:color="auto"/>
            </w:tcBorders>
          </w:tcPr>
          <w:p w14:paraId="04057220" w14:textId="77777777" w:rsidR="005A58BF" w:rsidRPr="0084402E" w:rsidRDefault="005A58BF" w:rsidP="006E4FEF">
            <w:pPr>
              <w:jc w:val="center"/>
              <w:rPr>
                <w:sz w:val="24"/>
                <w:szCs w:val="24"/>
              </w:rPr>
            </w:pPr>
            <w:r w:rsidRPr="0084402E">
              <w:rPr>
                <w:sz w:val="24"/>
                <w:szCs w:val="24"/>
              </w:rPr>
              <w:t>Recomendaciones</w:t>
            </w:r>
          </w:p>
        </w:tc>
      </w:tr>
      <w:tr w:rsidR="005A58BF" w:rsidRPr="0084402E" w14:paraId="7817F56B" w14:textId="77777777" w:rsidTr="006E4FEF">
        <w:tc>
          <w:tcPr>
            <w:tcW w:w="4489" w:type="dxa"/>
            <w:tcBorders>
              <w:top w:val="single" w:sz="4" w:space="0" w:color="auto"/>
              <w:bottom w:val="single" w:sz="4" w:space="0" w:color="auto"/>
              <w:right w:val="single" w:sz="24" w:space="0" w:color="auto"/>
            </w:tcBorders>
          </w:tcPr>
          <w:p w14:paraId="42BC72E1" w14:textId="77777777" w:rsidR="005A58BF" w:rsidRPr="0084402E" w:rsidRDefault="005A58BF" w:rsidP="00A2224F">
            <w:pPr>
              <w:jc w:val="both"/>
              <w:rPr>
                <w:sz w:val="24"/>
                <w:szCs w:val="24"/>
              </w:rPr>
            </w:pPr>
            <w:r w:rsidRPr="0084402E">
              <w:rPr>
                <w:sz w:val="24"/>
                <w:szCs w:val="24"/>
              </w:rPr>
              <w:t>Inconsistencia entre los indicadores de los POA’s, la MIR, el PASH.</w:t>
            </w:r>
          </w:p>
        </w:tc>
        <w:tc>
          <w:tcPr>
            <w:tcW w:w="4489" w:type="dxa"/>
            <w:vMerge w:val="restart"/>
            <w:tcBorders>
              <w:top w:val="single" w:sz="4" w:space="0" w:color="auto"/>
              <w:left w:val="single" w:sz="24" w:space="0" w:color="auto"/>
            </w:tcBorders>
          </w:tcPr>
          <w:p w14:paraId="528FF788" w14:textId="77777777" w:rsidR="005A58BF" w:rsidRPr="0084402E" w:rsidRDefault="005A58BF" w:rsidP="00A2224F">
            <w:pPr>
              <w:jc w:val="both"/>
              <w:rPr>
                <w:sz w:val="24"/>
                <w:szCs w:val="24"/>
              </w:rPr>
            </w:pPr>
            <w:r w:rsidRPr="0084402E">
              <w:rPr>
                <w:sz w:val="24"/>
                <w:szCs w:val="24"/>
              </w:rPr>
              <w:t xml:space="preserve">Identificar adecuadamente las variables de los indicadores utilizados en los distintos instrumentos de planeación, programación y seguimiento (POA, MIR, SFU), así como sus fuentes de </w:t>
            </w:r>
            <w:r w:rsidRPr="0084402E">
              <w:rPr>
                <w:sz w:val="24"/>
                <w:szCs w:val="24"/>
              </w:rPr>
              <w:lastRenderedPageBreak/>
              <w:t xml:space="preserve">información, con el fin de que haya coherencia entre dichos indicadores,  sus líneas base y sus metas en todos los instrumentos utilizados. </w:t>
            </w:r>
          </w:p>
        </w:tc>
      </w:tr>
      <w:tr w:rsidR="005A58BF" w:rsidRPr="0084402E" w14:paraId="2CAEB079" w14:textId="77777777" w:rsidTr="006E4FEF">
        <w:tc>
          <w:tcPr>
            <w:tcW w:w="4489" w:type="dxa"/>
            <w:tcBorders>
              <w:top w:val="single" w:sz="4" w:space="0" w:color="auto"/>
              <w:bottom w:val="single" w:sz="4" w:space="0" w:color="auto"/>
              <w:right w:val="single" w:sz="24" w:space="0" w:color="auto"/>
            </w:tcBorders>
          </w:tcPr>
          <w:p w14:paraId="4A2F01FB" w14:textId="77777777" w:rsidR="005A58BF" w:rsidRPr="0084402E" w:rsidRDefault="005A58BF" w:rsidP="00A2224F">
            <w:pPr>
              <w:jc w:val="both"/>
              <w:rPr>
                <w:sz w:val="24"/>
                <w:szCs w:val="24"/>
              </w:rPr>
            </w:pPr>
            <w:r w:rsidRPr="0084402E">
              <w:rPr>
                <w:sz w:val="24"/>
                <w:szCs w:val="24"/>
              </w:rPr>
              <w:t xml:space="preserve">Poca claridad en las metas y en los criterios para su definición. </w:t>
            </w:r>
          </w:p>
        </w:tc>
        <w:tc>
          <w:tcPr>
            <w:tcW w:w="4489" w:type="dxa"/>
            <w:vMerge/>
            <w:tcBorders>
              <w:left w:val="single" w:sz="24" w:space="0" w:color="auto"/>
              <w:bottom w:val="single" w:sz="4" w:space="0" w:color="auto"/>
            </w:tcBorders>
          </w:tcPr>
          <w:p w14:paraId="086BDA9F" w14:textId="77777777" w:rsidR="005A58BF" w:rsidRPr="0084402E" w:rsidRDefault="005A58BF" w:rsidP="006E4FEF">
            <w:pPr>
              <w:rPr>
                <w:sz w:val="24"/>
                <w:szCs w:val="24"/>
              </w:rPr>
            </w:pPr>
          </w:p>
        </w:tc>
      </w:tr>
      <w:tr w:rsidR="005A58BF" w:rsidRPr="0084402E" w14:paraId="3DB4DA11" w14:textId="77777777" w:rsidTr="006E4FEF">
        <w:tc>
          <w:tcPr>
            <w:tcW w:w="4489" w:type="dxa"/>
            <w:tcBorders>
              <w:top w:val="single" w:sz="4" w:space="0" w:color="auto"/>
              <w:bottom w:val="thickThinSmallGap" w:sz="24" w:space="0" w:color="auto"/>
              <w:right w:val="single" w:sz="24" w:space="0" w:color="auto"/>
            </w:tcBorders>
          </w:tcPr>
          <w:p w14:paraId="44B4D9F7" w14:textId="77777777" w:rsidR="005A58BF" w:rsidRPr="0084402E" w:rsidRDefault="005A58BF" w:rsidP="006E4FEF">
            <w:pPr>
              <w:rPr>
                <w:sz w:val="24"/>
                <w:szCs w:val="24"/>
              </w:rPr>
            </w:pPr>
          </w:p>
        </w:tc>
        <w:tc>
          <w:tcPr>
            <w:tcW w:w="4489" w:type="dxa"/>
            <w:tcBorders>
              <w:top w:val="single" w:sz="4" w:space="0" w:color="auto"/>
              <w:left w:val="single" w:sz="24" w:space="0" w:color="auto"/>
              <w:bottom w:val="thickThinSmallGap" w:sz="24" w:space="0" w:color="auto"/>
            </w:tcBorders>
          </w:tcPr>
          <w:p w14:paraId="691AA18F" w14:textId="77777777" w:rsidR="005A58BF" w:rsidRPr="0084402E" w:rsidRDefault="005A58BF" w:rsidP="006E4FEF">
            <w:pPr>
              <w:rPr>
                <w:sz w:val="24"/>
                <w:szCs w:val="24"/>
              </w:rPr>
            </w:pPr>
          </w:p>
        </w:tc>
      </w:tr>
    </w:tbl>
    <w:p w14:paraId="5E1EA653" w14:textId="77777777" w:rsidR="005A58BF" w:rsidRPr="0084402E" w:rsidRDefault="005A58BF" w:rsidP="005A58BF">
      <w:pPr>
        <w:rPr>
          <w:sz w:val="24"/>
          <w:szCs w:val="24"/>
        </w:rPr>
      </w:pPr>
    </w:p>
    <w:p w14:paraId="58DFAA6C" w14:textId="77777777" w:rsidR="005A58BF" w:rsidRPr="0084402E" w:rsidRDefault="005A58BF" w:rsidP="005A58BF">
      <w:pPr>
        <w:rPr>
          <w:sz w:val="24"/>
          <w:szCs w:val="24"/>
        </w:rPr>
      </w:pPr>
    </w:p>
    <w:tbl>
      <w:tblPr>
        <w:tblStyle w:val="Tablaconcuadrcula"/>
        <w:tblW w:w="0" w:type="auto"/>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4489"/>
        <w:gridCol w:w="4489"/>
      </w:tblGrid>
      <w:tr w:rsidR="005A58BF" w:rsidRPr="0084402E" w14:paraId="04C52A69" w14:textId="77777777" w:rsidTr="006E4FEF">
        <w:tc>
          <w:tcPr>
            <w:tcW w:w="8978" w:type="dxa"/>
            <w:gridSpan w:val="2"/>
            <w:tcBorders>
              <w:top w:val="single" w:sz="24" w:space="0" w:color="auto"/>
            </w:tcBorders>
          </w:tcPr>
          <w:p w14:paraId="1799DD22" w14:textId="77777777" w:rsidR="005A58BF" w:rsidRPr="0084402E" w:rsidRDefault="005A58BF" w:rsidP="006E4FEF">
            <w:pPr>
              <w:jc w:val="center"/>
              <w:rPr>
                <w:sz w:val="24"/>
                <w:szCs w:val="24"/>
              </w:rPr>
            </w:pPr>
            <w:r w:rsidRPr="0084402E">
              <w:rPr>
                <w:sz w:val="24"/>
                <w:szCs w:val="24"/>
              </w:rPr>
              <w:t>Análisis Interno: Fortalezas Debilidades y Recomendaciones</w:t>
            </w:r>
          </w:p>
        </w:tc>
      </w:tr>
      <w:tr w:rsidR="005A58BF" w:rsidRPr="0084402E" w14:paraId="52558BD6" w14:textId="77777777" w:rsidTr="006E4FEF">
        <w:tc>
          <w:tcPr>
            <w:tcW w:w="8978" w:type="dxa"/>
            <w:gridSpan w:val="2"/>
          </w:tcPr>
          <w:p w14:paraId="1AF8B572" w14:textId="77777777" w:rsidR="005A58BF" w:rsidRPr="0084402E" w:rsidRDefault="005A58BF" w:rsidP="005A58BF">
            <w:pPr>
              <w:pStyle w:val="Prrafodelista"/>
              <w:numPr>
                <w:ilvl w:val="0"/>
                <w:numId w:val="22"/>
              </w:numPr>
              <w:spacing w:after="0" w:line="240" w:lineRule="auto"/>
              <w:jc w:val="center"/>
              <w:rPr>
                <w:b/>
                <w:sz w:val="24"/>
                <w:szCs w:val="24"/>
              </w:rPr>
            </w:pPr>
            <w:r w:rsidRPr="0084402E">
              <w:rPr>
                <w:b/>
                <w:sz w:val="24"/>
                <w:szCs w:val="24"/>
              </w:rPr>
              <w:t>COBERTURA DE A TENCIÓN</w:t>
            </w:r>
          </w:p>
        </w:tc>
      </w:tr>
      <w:tr w:rsidR="005A58BF" w:rsidRPr="0084402E" w14:paraId="2A0DE60C" w14:textId="77777777" w:rsidTr="006E4FEF">
        <w:tc>
          <w:tcPr>
            <w:tcW w:w="8978" w:type="dxa"/>
            <w:gridSpan w:val="2"/>
            <w:tcBorders>
              <w:top w:val="single" w:sz="24" w:space="0" w:color="auto"/>
              <w:bottom w:val="single" w:sz="4" w:space="0" w:color="auto"/>
            </w:tcBorders>
          </w:tcPr>
          <w:p w14:paraId="36E27E23" w14:textId="77777777" w:rsidR="005A58BF" w:rsidRPr="0084402E" w:rsidRDefault="005A58BF" w:rsidP="006E4FEF">
            <w:pPr>
              <w:jc w:val="center"/>
              <w:rPr>
                <w:sz w:val="24"/>
                <w:szCs w:val="24"/>
              </w:rPr>
            </w:pPr>
            <w:r w:rsidRPr="0084402E">
              <w:rPr>
                <w:sz w:val="24"/>
                <w:szCs w:val="24"/>
              </w:rPr>
              <w:t>Fortalezas</w:t>
            </w:r>
          </w:p>
        </w:tc>
      </w:tr>
      <w:tr w:rsidR="005A58BF" w:rsidRPr="0084402E" w14:paraId="7D7A7D6E" w14:textId="77777777" w:rsidTr="006E4FEF">
        <w:tc>
          <w:tcPr>
            <w:tcW w:w="8978" w:type="dxa"/>
            <w:gridSpan w:val="2"/>
            <w:tcBorders>
              <w:top w:val="single" w:sz="4" w:space="0" w:color="auto"/>
            </w:tcBorders>
          </w:tcPr>
          <w:p w14:paraId="723F3253" w14:textId="77777777" w:rsidR="005A58BF" w:rsidRPr="0084402E" w:rsidRDefault="005A58BF" w:rsidP="00A2224F">
            <w:pPr>
              <w:jc w:val="both"/>
              <w:rPr>
                <w:sz w:val="24"/>
                <w:szCs w:val="24"/>
              </w:rPr>
            </w:pPr>
            <w:r w:rsidRPr="0084402E">
              <w:rPr>
                <w:sz w:val="24"/>
                <w:szCs w:val="24"/>
              </w:rPr>
              <w:t>La población potencial y la población objetivo están claramente definidas y están cuantificadas.</w:t>
            </w:r>
          </w:p>
        </w:tc>
      </w:tr>
      <w:tr w:rsidR="005A58BF" w:rsidRPr="0084402E" w14:paraId="09C9237A" w14:textId="77777777" w:rsidTr="006E4FEF">
        <w:tc>
          <w:tcPr>
            <w:tcW w:w="8978" w:type="dxa"/>
            <w:gridSpan w:val="2"/>
          </w:tcPr>
          <w:p w14:paraId="5F2AD8B9" w14:textId="3097E66E" w:rsidR="005A58BF" w:rsidRPr="0084402E" w:rsidRDefault="00263503" w:rsidP="00A2224F">
            <w:pPr>
              <w:jc w:val="both"/>
              <w:rPr>
                <w:sz w:val="24"/>
                <w:szCs w:val="24"/>
              </w:rPr>
            </w:pPr>
            <w:r w:rsidRPr="0084402E">
              <w:rPr>
                <w:sz w:val="24"/>
                <w:szCs w:val="24"/>
              </w:rPr>
              <w:t>La eficiencia de la cobertura se</w:t>
            </w:r>
            <w:r w:rsidR="005A58BF" w:rsidRPr="0084402E">
              <w:rPr>
                <w:sz w:val="24"/>
                <w:szCs w:val="24"/>
              </w:rPr>
              <w:t xml:space="preserve"> considera aceptable, con un 76.37% de la población objetivo.</w:t>
            </w:r>
          </w:p>
        </w:tc>
      </w:tr>
      <w:tr w:rsidR="005A58BF" w:rsidRPr="0084402E" w14:paraId="5974EDA7" w14:textId="77777777" w:rsidTr="006E4FEF">
        <w:tc>
          <w:tcPr>
            <w:tcW w:w="8978" w:type="dxa"/>
            <w:gridSpan w:val="2"/>
          </w:tcPr>
          <w:p w14:paraId="0462B2E0" w14:textId="77777777" w:rsidR="005A58BF" w:rsidRPr="0084402E" w:rsidRDefault="005A58BF" w:rsidP="00A2224F">
            <w:pPr>
              <w:jc w:val="both"/>
              <w:rPr>
                <w:sz w:val="24"/>
                <w:szCs w:val="24"/>
              </w:rPr>
            </w:pPr>
            <w:r w:rsidRPr="0084402E">
              <w:rPr>
                <w:sz w:val="24"/>
                <w:szCs w:val="24"/>
              </w:rPr>
              <w:t>La eficiencia de la cobertura se incrementó en 5.3% con respecto al año anterior.</w:t>
            </w:r>
          </w:p>
        </w:tc>
      </w:tr>
      <w:tr w:rsidR="005A58BF" w:rsidRPr="0084402E" w14:paraId="793A69C9" w14:textId="77777777" w:rsidTr="006E4FEF">
        <w:tc>
          <w:tcPr>
            <w:tcW w:w="8978" w:type="dxa"/>
            <w:gridSpan w:val="2"/>
          </w:tcPr>
          <w:p w14:paraId="75CDF4EF" w14:textId="77777777" w:rsidR="005A58BF" w:rsidRPr="0084402E" w:rsidRDefault="005A58BF" w:rsidP="00A2224F">
            <w:pPr>
              <w:jc w:val="both"/>
              <w:rPr>
                <w:sz w:val="24"/>
                <w:szCs w:val="24"/>
              </w:rPr>
            </w:pPr>
            <w:r w:rsidRPr="0084402E">
              <w:rPr>
                <w:sz w:val="24"/>
                <w:szCs w:val="24"/>
              </w:rPr>
              <w:t xml:space="preserve">El programa, a través de sus reglas de operación del sistema SASA asegura que quienes reciben los servicios sean efectivamente las personas que se encuentran en rezago educativo. </w:t>
            </w:r>
          </w:p>
        </w:tc>
      </w:tr>
      <w:tr w:rsidR="005A58BF" w:rsidRPr="0084402E" w14:paraId="031A6EB8" w14:textId="77777777" w:rsidTr="006E4FEF">
        <w:tc>
          <w:tcPr>
            <w:tcW w:w="8978" w:type="dxa"/>
            <w:gridSpan w:val="2"/>
            <w:tcBorders>
              <w:bottom w:val="single" w:sz="24" w:space="0" w:color="auto"/>
            </w:tcBorders>
          </w:tcPr>
          <w:p w14:paraId="50F932B0" w14:textId="77777777" w:rsidR="005A58BF" w:rsidRPr="0084402E" w:rsidRDefault="005A58BF" w:rsidP="00A2224F">
            <w:pPr>
              <w:jc w:val="both"/>
              <w:rPr>
                <w:sz w:val="24"/>
                <w:szCs w:val="24"/>
              </w:rPr>
            </w:pPr>
          </w:p>
        </w:tc>
      </w:tr>
      <w:tr w:rsidR="005A58BF" w:rsidRPr="0084402E" w14:paraId="762F7B17" w14:textId="77777777" w:rsidTr="006E4FEF">
        <w:tc>
          <w:tcPr>
            <w:tcW w:w="4489" w:type="dxa"/>
            <w:tcBorders>
              <w:top w:val="single" w:sz="24" w:space="0" w:color="auto"/>
              <w:bottom w:val="single" w:sz="4" w:space="0" w:color="auto"/>
              <w:right w:val="single" w:sz="24" w:space="0" w:color="auto"/>
            </w:tcBorders>
          </w:tcPr>
          <w:p w14:paraId="28164816" w14:textId="77777777" w:rsidR="005A58BF" w:rsidRPr="0084402E" w:rsidRDefault="005A58BF" w:rsidP="00A2224F">
            <w:pPr>
              <w:jc w:val="both"/>
              <w:rPr>
                <w:sz w:val="24"/>
                <w:szCs w:val="24"/>
              </w:rPr>
            </w:pPr>
            <w:r w:rsidRPr="0084402E">
              <w:rPr>
                <w:sz w:val="24"/>
                <w:szCs w:val="24"/>
              </w:rPr>
              <w:t>Retos</w:t>
            </w:r>
          </w:p>
        </w:tc>
        <w:tc>
          <w:tcPr>
            <w:tcW w:w="4489" w:type="dxa"/>
            <w:tcBorders>
              <w:top w:val="single" w:sz="24" w:space="0" w:color="auto"/>
              <w:left w:val="single" w:sz="24" w:space="0" w:color="auto"/>
              <w:bottom w:val="single" w:sz="4" w:space="0" w:color="auto"/>
            </w:tcBorders>
          </w:tcPr>
          <w:p w14:paraId="79D83328" w14:textId="77777777" w:rsidR="005A58BF" w:rsidRPr="0084402E" w:rsidRDefault="005A58BF" w:rsidP="00A2224F">
            <w:pPr>
              <w:jc w:val="both"/>
              <w:rPr>
                <w:sz w:val="24"/>
                <w:szCs w:val="24"/>
              </w:rPr>
            </w:pPr>
            <w:r w:rsidRPr="0084402E">
              <w:rPr>
                <w:sz w:val="24"/>
                <w:szCs w:val="24"/>
              </w:rPr>
              <w:t>Recomendaciones</w:t>
            </w:r>
          </w:p>
        </w:tc>
      </w:tr>
      <w:tr w:rsidR="005A58BF" w:rsidRPr="0084402E" w14:paraId="35CA64E1" w14:textId="77777777" w:rsidTr="006E4FEF">
        <w:tc>
          <w:tcPr>
            <w:tcW w:w="4489" w:type="dxa"/>
            <w:tcBorders>
              <w:top w:val="single" w:sz="4" w:space="0" w:color="auto"/>
              <w:bottom w:val="single" w:sz="4" w:space="0" w:color="auto"/>
              <w:right w:val="single" w:sz="24" w:space="0" w:color="auto"/>
            </w:tcBorders>
          </w:tcPr>
          <w:p w14:paraId="16922169" w14:textId="77777777" w:rsidR="005A58BF" w:rsidRPr="0084402E" w:rsidRDefault="005A58BF" w:rsidP="00A2224F">
            <w:pPr>
              <w:jc w:val="both"/>
              <w:rPr>
                <w:sz w:val="24"/>
                <w:szCs w:val="24"/>
              </w:rPr>
            </w:pPr>
            <w:r w:rsidRPr="0084402E">
              <w:rPr>
                <w:sz w:val="24"/>
                <w:szCs w:val="24"/>
              </w:rPr>
              <w:t>La cobertura del programa es limitada, apenas se cubre un 3.82 por ciento de la población potencial</w:t>
            </w:r>
          </w:p>
        </w:tc>
        <w:tc>
          <w:tcPr>
            <w:tcW w:w="4489" w:type="dxa"/>
            <w:vMerge w:val="restart"/>
            <w:tcBorders>
              <w:top w:val="single" w:sz="4" w:space="0" w:color="auto"/>
              <w:left w:val="single" w:sz="24" w:space="0" w:color="auto"/>
            </w:tcBorders>
          </w:tcPr>
          <w:p w14:paraId="7F187CF3" w14:textId="77777777" w:rsidR="005A58BF" w:rsidRPr="0084402E" w:rsidRDefault="005A58BF" w:rsidP="00A2224F">
            <w:pPr>
              <w:jc w:val="both"/>
              <w:rPr>
                <w:sz w:val="24"/>
                <w:szCs w:val="24"/>
              </w:rPr>
            </w:pPr>
            <w:r w:rsidRPr="0084402E">
              <w:rPr>
                <w:sz w:val="24"/>
                <w:szCs w:val="24"/>
              </w:rPr>
              <w:t xml:space="preserve">Hacer un mejor seguimiento y evaluación del programa que genere información sólida para hacer patente la necesidad de atender con mayores recursos la problemática. </w:t>
            </w:r>
          </w:p>
          <w:p w14:paraId="697E853D" w14:textId="77777777" w:rsidR="005A58BF" w:rsidRPr="0084402E" w:rsidRDefault="005A58BF" w:rsidP="00A2224F">
            <w:pPr>
              <w:jc w:val="both"/>
              <w:rPr>
                <w:sz w:val="24"/>
                <w:szCs w:val="24"/>
              </w:rPr>
            </w:pPr>
          </w:p>
        </w:tc>
      </w:tr>
      <w:tr w:rsidR="005A58BF" w:rsidRPr="0084402E" w14:paraId="50E441CF" w14:textId="77777777" w:rsidTr="006E4FEF">
        <w:trPr>
          <w:trHeight w:val="1819"/>
        </w:trPr>
        <w:tc>
          <w:tcPr>
            <w:tcW w:w="4489" w:type="dxa"/>
            <w:tcBorders>
              <w:top w:val="single" w:sz="4" w:space="0" w:color="auto"/>
              <w:bottom w:val="single" w:sz="4" w:space="0" w:color="auto"/>
              <w:right w:val="single" w:sz="24" w:space="0" w:color="auto"/>
            </w:tcBorders>
          </w:tcPr>
          <w:p w14:paraId="308CDEE9" w14:textId="32CE4050" w:rsidR="005A58BF" w:rsidRPr="0084402E" w:rsidRDefault="005A58BF" w:rsidP="00A2224F">
            <w:pPr>
              <w:jc w:val="both"/>
              <w:rPr>
                <w:sz w:val="24"/>
                <w:szCs w:val="24"/>
              </w:rPr>
            </w:pPr>
            <w:r w:rsidRPr="0084402E">
              <w:rPr>
                <w:sz w:val="24"/>
                <w:szCs w:val="24"/>
              </w:rPr>
              <w:t>El incremento de la pob</w:t>
            </w:r>
            <w:r w:rsidR="002070B4" w:rsidRPr="0084402E">
              <w:rPr>
                <w:sz w:val="24"/>
                <w:szCs w:val="24"/>
              </w:rPr>
              <w:t xml:space="preserve">lación atendida, la cobertura, </w:t>
            </w:r>
            <w:r w:rsidRPr="0084402E">
              <w:rPr>
                <w:sz w:val="24"/>
                <w:szCs w:val="24"/>
              </w:rPr>
              <w:t xml:space="preserve">y la eficacia de la cobertura son limitados con respecto al año anterior </w:t>
            </w:r>
            <w:r w:rsidR="00263503" w:rsidRPr="0084402E">
              <w:rPr>
                <w:sz w:val="24"/>
                <w:szCs w:val="24"/>
              </w:rPr>
              <w:t>(</w:t>
            </w:r>
            <w:r w:rsidRPr="0084402E">
              <w:rPr>
                <w:sz w:val="24"/>
                <w:szCs w:val="24"/>
              </w:rPr>
              <w:t>son del alre</w:t>
            </w:r>
            <w:r w:rsidR="00204825" w:rsidRPr="0084402E">
              <w:rPr>
                <w:sz w:val="24"/>
                <w:szCs w:val="24"/>
              </w:rPr>
              <w:t>dedor del 5%</w:t>
            </w:r>
            <w:r w:rsidR="00263503" w:rsidRPr="0084402E">
              <w:rPr>
                <w:sz w:val="24"/>
                <w:szCs w:val="24"/>
              </w:rPr>
              <w:t>)</w:t>
            </w:r>
            <w:r w:rsidR="00204825" w:rsidRPr="0084402E">
              <w:rPr>
                <w:sz w:val="24"/>
                <w:szCs w:val="24"/>
              </w:rPr>
              <w:t>, no obstante existió</w:t>
            </w:r>
            <w:r w:rsidRPr="0084402E">
              <w:rPr>
                <w:sz w:val="24"/>
                <w:szCs w:val="24"/>
              </w:rPr>
              <w:t xml:space="preserve"> un incremento </w:t>
            </w:r>
            <w:r w:rsidRPr="0084402E">
              <w:rPr>
                <w:sz w:val="24"/>
                <w:szCs w:val="24"/>
              </w:rPr>
              <w:lastRenderedPageBreak/>
              <w:t xml:space="preserve">presupuestario considerable con respecto al año anterior. </w:t>
            </w:r>
          </w:p>
        </w:tc>
        <w:tc>
          <w:tcPr>
            <w:tcW w:w="4489" w:type="dxa"/>
            <w:vMerge/>
            <w:tcBorders>
              <w:left w:val="single" w:sz="24" w:space="0" w:color="auto"/>
            </w:tcBorders>
          </w:tcPr>
          <w:p w14:paraId="27505BF3" w14:textId="77777777" w:rsidR="005A58BF" w:rsidRPr="0084402E" w:rsidRDefault="005A58BF" w:rsidP="00A2224F">
            <w:pPr>
              <w:jc w:val="both"/>
              <w:rPr>
                <w:sz w:val="24"/>
                <w:szCs w:val="24"/>
              </w:rPr>
            </w:pPr>
          </w:p>
        </w:tc>
      </w:tr>
      <w:tr w:rsidR="00404579" w:rsidRPr="0084402E" w14:paraId="3B6FEC59" w14:textId="77777777" w:rsidTr="00F06899">
        <w:trPr>
          <w:trHeight w:val="3454"/>
        </w:trPr>
        <w:tc>
          <w:tcPr>
            <w:tcW w:w="4489" w:type="dxa"/>
            <w:tcBorders>
              <w:top w:val="single" w:sz="4" w:space="0" w:color="auto"/>
              <w:right w:val="single" w:sz="24" w:space="0" w:color="auto"/>
            </w:tcBorders>
          </w:tcPr>
          <w:p w14:paraId="5FBD7571" w14:textId="2DF2C2A5" w:rsidR="00404579" w:rsidRPr="0084402E" w:rsidRDefault="00404579" w:rsidP="00204825">
            <w:pPr>
              <w:jc w:val="both"/>
              <w:rPr>
                <w:sz w:val="24"/>
                <w:szCs w:val="24"/>
              </w:rPr>
            </w:pPr>
            <w:r w:rsidRPr="0084402E">
              <w:rPr>
                <w:sz w:val="24"/>
                <w:szCs w:val="24"/>
              </w:rPr>
              <w:lastRenderedPageBreak/>
              <w:t xml:space="preserve">No se da seguimiento al indicador de propósito establecido para el Fondo </w:t>
            </w:r>
          </w:p>
        </w:tc>
        <w:tc>
          <w:tcPr>
            <w:tcW w:w="4489" w:type="dxa"/>
            <w:tcBorders>
              <w:left w:val="single" w:sz="24" w:space="0" w:color="auto"/>
            </w:tcBorders>
          </w:tcPr>
          <w:p w14:paraId="024F68B0" w14:textId="77777777" w:rsidR="00404579" w:rsidRPr="0084402E" w:rsidRDefault="00404579" w:rsidP="00A2224F">
            <w:pPr>
              <w:jc w:val="both"/>
              <w:rPr>
                <w:sz w:val="24"/>
                <w:szCs w:val="24"/>
              </w:rPr>
            </w:pPr>
            <w:r w:rsidRPr="0084402E">
              <w:rPr>
                <w:sz w:val="24"/>
                <w:szCs w:val="24"/>
              </w:rPr>
              <w:t>Hacer una revisión a la dimensión de la población objetivo, revisar los criterios para su definición y ajustar las metas relacionadas con la cobertura y con el logro educativo. Así mismo fortalecer las acciones que se contemplan dentro de la Campaña Nacional de Alfabetización y Abatimiento del Rezago Educativo 2014-2018, que corresponda realizar al IEAEY</w:t>
            </w:r>
          </w:p>
        </w:tc>
      </w:tr>
      <w:tr w:rsidR="005A58BF" w:rsidRPr="0084402E" w14:paraId="6D4B7EC9" w14:textId="77777777" w:rsidTr="006E4FEF">
        <w:tc>
          <w:tcPr>
            <w:tcW w:w="4489" w:type="dxa"/>
            <w:tcBorders>
              <w:top w:val="single" w:sz="4" w:space="0" w:color="auto"/>
              <w:bottom w:val="thickThinSmallGap" w:sz="24" w:space="0" w:color="auto"/>
              <w:right w:val="single" w:sz="24" w:space="0" w:color="auto"/>
            </w:tcBorders>
          </w:tcPr>
          <w:p w14:paraId="529D3410" w14:textId="77777777" w:rsidR="005A58BF" w:rsidRPr="0084402E" w:rsidRDefault="005A58BF" w:rsidP="006E4FEF">
            <w:pPr>
              <w:rPr>
                <w:sz w:val="24"/>
                <w:szCs w:val="24"/>
              </w:rPr>
            </w:pPr>
          </w:p>
        </w:tc>
        <w:tc>
          <w:tcPr>
            <w:tcW w:w="4489" w:type="dxa"/>
            <w:tcBorders>
              <w:top w:val="single" w:sz="4" w:space="0" w:color="auto"/>
              <w:left w:val="single" w:sz="24" w:space="0" w:color="auto"/>
              <w:bottom w:val="thickThinSmallGap" w:sz="24" w:space="0" w:color="auto"/>
            </w:tcBorders>
          </w:tcPr>
          <w:p w14:paraId="73E32D3D" w14:textId="77777777" w:rsidR="005A58BF" w:rsidRPr="0084402E" w:rsidRDefault="005A58BF" w:rsidP="006E4FEF">
            <w:pPr>
              <w:rPr>
                <w:sz w:val="24"/>
                <w:szCs w:val="24"/>
              </w:rPr>
            </w:pPr>
          </w:p>
        </w:tc>
      </w:tr>
    </w:tbl>
    <w:p w14:paraId="044BC827" w14:textId="77777777" w:rsidR="005A58BF" w:rsidRPr="0084402E" w:rsidRDefault="005A58BF" w:rsidP="005A58BF">
      <w:pPr>
        <w:rPr>
          <w:sz w:val="24"/>
          <w:szCs w:val="24"/>
        </w:rPr>
      </w:pPr>
    </w:p>
    <w:tbl>
      <w:tblPr>
        <w:tblStyle w:val="Tablaconcuadrcula"/>
        <w:tblW w:w="0" w:type="auto"/>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4489"/>
        <w:gridCol w:w="4489"/>
      </w:tblGrid>
      <w:tr w:rsidR="005A58BF" w:rsidRPr="0084402E" w14:paraId="3D77FDEC" w14:textId="77777777" w:rsidTr="006E4FEF">
        <w:tc>
          <w:tcPr>
            <w:tcW w:w="8978" w:type="dxa"/>
            <w:gridSpan w:val="2"/>
            <w:tcBorders>
              <w:top w:val="single" w:sz="24" w:space="0" w:color="auto"/>
            </w:tcBorders>
          </w:tcPr>
          <w:p w14:paraId="6A4A3FA1" w14:textId="77777777" w:rsidR="005A58BF" w:rsidRPr="0084402E" w:rsidRDefault="005A58BF" w:rsidP="006E4FEF">
            <w:pPr>
              <w:jc w:val="center"/>
              <w:rPr>
                <w:sz w:val="24"/>
                <w:szCs w:val="24"/>
              </w:rPr>
            </w:pPr>
            <w:r w:rsidRPr="0084402E">
              <w:rPr>
                <w:sz w:val="24"/>
                <w:szCs w:val="24"/>
              </w:rPr>
              <w:t>Análisis Interno: Fortalezas Debilidades y Recomendaciones</w:t>
            </w:r>
          </w:p>
        </w:tc>
      </w:tr>
      <w:tr w:rsidR="005A58BF" w:rsidRPr="0084402E" w14:paraId="3EAA4644" w14:textId="77777777" w:rsidTr="006E4FEF">
        <w:tc>
          <w:tcPr>
            <w:tcW w:w="8978" w:type="dxa"/>
            <w:gridSpan w:val="2"/>
          </w:tcPr>
          <w:p w14:paraId="3F5518EE" w14:textId="77777777" w:rsidR="005A58BF" w:rsidRPr="0084402E" w:rsidRDefault="005A58BF" w:rsidP="005A58BF">
            <w:pPr>
              <w:pStyle w:val="Prrafodelista"/>
              <w:numPr>
                <w:ilvl w:val="0"/>
                <w:numId w:val="22"/>
              </w:numPr>
              <w:spacing w:after="0" w:line="240" w:lineRule="auto"/>
              <w:jc w:val="center"/>
              <w:rPr>
                <w:b/>
                <w:sz w:val="24"/>
                <w:szCs w:val="24"/>
              </w:rPr>
            </w:pPr>
            <w:r w:rsidRPr="0084402E">
              <w:rPr>
                <w:b/>
                <w:sz w:val="24"/>
                <w:szCs w:val="24"/>
              </w:rPr>
              <w:t>INDICADORES</w:t>
            </w:r>
          </w:p>
        </w:tc>
      </w:tr>
      <w:tr w:rsidR="005A58BF" w:rsidRPr="0084402E" w14:paraId="010AC1CB" w14:textId="77777777" w:rsidTr="006E4FEF">
        <w:tc>
          <w:tcPr>
            <w:tcW w:w="8978" w:type="dxa"/>
            <w:gridSpan w:val="2"/>
            <w:tcBorders>
              <w:top w:val="single" w:sz="24" w:space="0" w:color="auto"/>
              <w:bottom w:val="single" w:sz="4" w:space="0" w:color="auto"/>
            </w:tcBorders>
          </w:tcPr>
          <w:p w14:paraId="25567672" w14:textId="77777777" w:rsidR="005A58BF" w:rsidRPr="0084402E" w:rsidRDefault="005A58BF" w:rsidP="006E4FEF">
            <w:pPr>
              <w:jc w:val="center"/>
              <w:rPr>
                <w:sz w:val="24"/>
                <w:szCs w:val="24"/>
              </w:rPr>
            </w:pPr>
            <w:r w:rsidRPr="0084402E">
              <w:rPr>
                <w:sz w:val="24"/>
                <w:szCs w:val="24"/>
              </w:rPr>
              <w:t>Fortalezas</w:t>
            </w:r>
          </w:p>
        </w:tc>
      </w:tr>
      <w:tr w:rsidR="005A58BF" w:rsidRPr="0084402E" w14:paraId="214268A4" w14:textId="77777777" w:rsidTr="006E4FEF">
        <w:tc>
          <w:tcPr>
            <w:tcW w:w="8978" w:type="dxa"/>
            <w:gridSpan w:val="2"/>
            <w:tcBorders>
              <w:top w:val="single" w:sz="4" w:space="0" w:color="auto"/>
            </w:tcBorders>
          </w:tcPr>
          <w:p w14:paraId="14B93C13" w14:textId="7B2B4A37" w:rsidR="005A58BF" w:rsidRPr="0084402E" w:rsidRDefault="005A58BF" w:rsidP="004054E0">
            <w:pPr>
              <w:jc w:val="both"/>
              <w:rPr>
                <w:sz w:val="24"/>
                <w:szCs w:val="24"/>
              </w:rPr>
            </w:pPr>
            <w:r w:rsidRPr="0084402E">
              <w:rPr>
                <w:sz w:val="24"/>
                <w:szCs w:val="24"/>
              </w:rPr>
              <w:t xml:space="preserve">En el Sistema de Formato Único, SFU, del PASH, se le da seguimiento a los indicadores de </w:t>
            </w:r>
            <w:r w:rsidR="00B04E42" w:rsidRPr="0084402E">
              <w:rPr>
                <w:sz w:val="24"/>
                <w:szCs w:val="24"/>
              </w:rPr>
              <w:t>Componente, y  los resultados</w:t>
            </w:r>
            <w:r w:rsidRPr="0084402E">
              <w:rPr>
                <w:sz w:val="24"/>
                <w:szCs w:val="24"/>
              </w:rPr>
              <w:t xml:space="preserve"> superan la meta en todos los casos</w:t>
            </w:r>
          </w:p>
        </w:tc>
      </w:tr>
      <w:tr w:rsidR="005A58BF" w:rsidRPr="0084402E" w14:paraId="3EF38C75" w14:textId="77777777" w:rsidTr="006E4FEF">
        <w:tc>
          <w:tcPr>
            <w:tcW w:w="8978" w:type="dxa"/>
            <w:gridSpan w:val="2"/>
          </w:tcPr>
          <w:p w14:paraId="0BB5225A" w14:textId="4992E16F" w:rsidR="005A58BF" w:rsidRPr="0084402E" w:rsidRDefault="005A58BF" w:rsidP="004054E0">
            <w:pPr>
              <w:jc w:val="both"/>
              <w:rPr>
                <w:sz w:val="24"/>
                <w:szCs w:val="24"/>
              </w:rPr>
            </w:pPr>
            <w:r w:rsidRPr="0084402E">
              <w:rPr>
                <w:sz w:val="24"/>
                <w:szCs w:val="24"/>
              </w:rPr>
              <w:t xml:space="preserve">Estos indicadores muestran que la instrumentación del programa y el otorgamiento de los servicios ha sido exitoso en términos del logro educativo de quienes </w:t>
            </w:r>
            <w:r w:rsidR="00B04E42" w:rsidRPr="0084402E">
              <w:rPr>
                <w:sz w:val="24"/>
                <w:szCs w:val="24"/>
              </w:rPr>
              <w:t>reciben</w:t>
            </w:r>
            <w:r w:rsidRPr="0084402E">
              <w:rPr>
                <w:sz w:val="24"/>
                <w:szCs w:val="24"/>
              </w:rPr>
              <w:t xml:space="preserve"> los servicios. </w:t>
            </w:r>
          </w:p>
        </w:tc>
      </w:tr>
      <w:tr w:rsidR="005A58BF" w:rsidRPr="0084402E" w14:paraId="26462320" w14:textId="77777777" w:rsidTr="006E4FEF">
        <w:tc>
          <w:tcPr>
            <w:tcW w:w="8978" w:type="dxa"/>
            <w:gridSpan w:val="2"/>
          </w:tcPr>
          <w:p w14:paraId="206037B7" w14:textId="69DFE392" w:rsidR="005A58BF" w:rsidRPr="0084402E" w:rsidRDefault="005A58BF" w:rsidP="004054E0">
            <w:pPr>
              <w:jc w:val="both"/>
              <w:rPr>
                <w:sz w:val="24"/>
                <w:szCs w:val="24"/>
              </w:rPr>
            </w:pPr>
            <w:r w:rsidRPr="0084402E">
              <w:rPr>
                <w:sz w:val="24"/>
                <w:szCs w:val="24"/>
              </w:rPr>
              <w:t>Se cuenta con una MIR estatal del programa a través del cual se otorgan los</w:t>
            </w:r>
            <w:r w:rsidR="00B04E42" w:rsidRPr="0084402E">
              <w:rPr>
                <w:sz w:val="24"/>
                <w:szCs w:val="24"/>
              </w:rPr>
              <w:t xml:space="preserve"> servicios, por medio de ella</w:t>
            </w:r>
            <w:r w:rsidRPr="0084402E">
              <w:rPr>
                <w:sz w:val="24"/>
                <w:szCs w:val="24"/>
              </w:rPr>
              <w:t xml:space="preserve"> se podría dar un seguimiento a los aspectos específicos de la operación del programa y la prestación de los servicios educativos a nivel estatal. </w:t>
            </w:r>
          </w:p>
        </w:tc>
      </w:tr>
      <w:tr w:rsidR="005A58BF" w:rsidRPr="0084402E" w14:paraId="7E8CAE51" w14:textId="77777777" w:rsidTr="006E4FEF">
        <w:tc>
          <w:tcPr>
            <w:tcW w:w="8978" w:type="dxa"/>
            <w:gridSpan w:val="2"/>
            <w:tcBorders>
              <w:bottom w:val="single" w:sz="24" w:space="0" w:color="auto"/>
            </w:tcBorders>
          </w:tcPr>
          <w:p w14:paraId="6BBE4C94" w14:textId="77777777" w:rsidR="005A58BF" w:rsidRPr="0084402E" w:rsidRDefault="005A58BF" w:rsidP="004054E0">
            <w:pPr>
              <w:jc w:val="both"/>
              <w:rPr>
                <w:sz w:val="24"/>
                <w:szCs w:val="24"/>
              </w:rPr>
            </w:pPr>
          </w:p>
        </w:tc>
      </w:tr>
      <w:tr w:rsidR="005A58BF" w:rsidRPr="0084402E" w14:paraId="7FAF0659" w14:textId="77777777" w:rsidTr="006E4FEF">
        <w:tc>
          <w:tcPr>
            <w:tcW w:w="4489" w:type="dxa"/>
            <w:tcBorders>
              <w:top w:val="single" w:sz="24" w:space="0" w:color="auto"/>
              <w:bottom w:val="single" w:sz="4" w:space="0" w:color="auto"/>
              <w:right w:val="single" w:sz="24" w:space="0" w:color="auto"/>
            </w:tcBorders>
          </w:tcPr>
          <w:p w14:paraId="760850A2" w14:textId="77777777" w:rsidR="005A58BF" w:rsidRPr="0084402E" w:rsidRDefault="005A58BF" w:rsidP="004054E0">
            <w:pPr>
              <w:jc w:val="both"/>
              <w:rPr>
                <w:sz w:val="24"/>
                <w:szCs w:val="24"/>
              </w:rPr>
            </w:pPr>
            <w:r w:rsidRPr="0084402E">
              <w:rPr>
                <w:sz w:val="24"/>
                <w:szCs w:val="24"/>
              </w:rPr>
              <w:lastRenderedPageBreak/>
              <w:t>Retos</w:t>
            </w:r>
          </w:p>
        </w:tc>
        <w:tc>
          <w:tcPr>
            <w:tcW w:w="4489" w:type="dxa"/>
            <w:tcBorders>
              <w:top w:val="single" w:sz="24" w:space="0" w:color="auto"/>
              <w:left w:val="single" w:sz="24" w:space="0" w:color="auto"/>
              <w:bottom w:val="single" w:sz="4" w:space="0" w:color="auto"/>
            </w:tcBorders>
          </w:tcPr>
          <w:p w14:paraId="380A56C1" w14:textId="77777777" w:rsidR="005A58BF" w:rsidRPr="0084402E" w:rsidRDefault="005A58BF" w:rsidP="004054E0">
            <w:pPr>
              <w:jc w:val="both"/>
              <w:rPr>
                <w:sz w:val="24"/>
                <w:szCs w:val="24"/>
              </w:rPr>
            </w:pPr>
            <w:r w:rsidRPr="0084402E">
              <w:rPr>
                <w:sz w:val="24"/>
                <w:szCs w:val="24"/>
              </w:rPr>
              <w:t>Recomendaciones</w:t>
            </w:r>
          </w:p>
        </w:tc>
      </w:tr>
      <w:tr w:rsidR="005A58BF" w:rsidRPr="0084402E" w14:paraId="3EC93533" w14:textId="77777777" w:rsidTr="006E4FEF">
        <w:tc>
          <w:tcPr>
            <w:tcW w:w="4489" w:type="dxa"/>
            <w:tcBorders>
              <w:top w:val="single" w:sz="4" w:space="0" w:color="auto"/>
              <w:bottom w:val="single" w:sz="4" w:space="0" w:color="auto"/>
              <w:right w:val="single" w:sz="24" w:space="0" w:color="auto"/>
            </w:tcBorders>
          </w:tcPr>
          <w:p w14:paraId="7893752C" w14:textId="3335228B" w:rsidR="005A58BF" w:rsidRPr="0084402E" w:rsidRDefault="005A58BF" w:rsidP="004054E0">
            <w:pPr>
              <w:jc w:val="both"/>
              <w:rPr>
                <w:sz w:val="24"/>
                <w:szCs w:val="24"/>
              </w:rPr>
            </w:pPr>
            <w:r w:rsidRPr="0084402E">
              <w:rPr>
                <w:sz w:val="24"/>
                <w:szCs w:val="24"/>
              </w:rPr>
              <w:t xml:space="preserve"> En 2014 no se reporta en el SFU el seguimiento a los indicadores de Fin y Propósito establecidos para el Fondo.</w:t>
            </w:r>
          </w:p>
        </w:tc>
        <w:tc>
          <w:tcPr>
            <w:tcW w:w="4489" w:type="dxa"/>
            <w:tcBorders>
              <w:top w:val="single" w:sz="4" w:space="0" w:color="auto"/>
              <w:left w:val="single" w:sz="24" w:space="0" w:color="auto"/>
              <w:bottom w:val="single" w:sz="4" w:space="0" w:color="auto"/>
            </w:tcBorders>
          </w:tcPr>
          <w:p w14:paraId="4C03081A" w14:textId="77777777" w:rsidR="005A58BF" w:rsidRPr="0084402E" w:rsidRDefault="005A58BF" w:rsidP="004054E0">
            <w:pPr>
              <w:jc w:val="both"/>
              <w:rPr>
                <w:sz w:val="24"/>
                <w:szCs w:val="24"/>
              </w:rPr>
            </w:pPr>
            <w:r w:rsidRPr="0084402E">
              <w:rPr>
                <w:sz w:val="24"/>
                <w:szCs w:val="24"/>
              </w:rPr>
              <w:t>Definición clara de la responsabilidad del reporte de los resultados de los indicadores en el SFU. Capacitación a la(s), persona(s) responsable para el seguimiento a las variables de los indicadores del SFU, y en la adecuada utilización de dicho sistema para presentar los reportes.</w:t>
            </w:r>
          </w:p>
          <w:p w14:paraId="2B5AB5AC" w14:textId="77777777" w:rsidR="005A58BF" w:rsidRPr="0084402E" w:rsidRDefault="005A58BF" w:rsidP="004054E0">
            <w:pPr>
              <w:jc w:val="both"/>
              <w:rPr>
                <w:sz w:val="24"/>
                <w:szCs w:val="24"/>
              </w:rPr>
            </w:pPr>
            <w:r w:rsidRPr="0084402E">
              <w:rPr>
                <w:sz w:val="24"/>
                <w:szCs w:val="24"/>
              </w:rPr>
              <w:t xml:space="preserve">Generar y/o identificar la información de las variables de dichos indicadores y darle seguimiento oportuno. </w:t>
            </w:r>
          </w:p>
          <w:p w14:paraId="51F8545C" w14:textId="77777777" w:rsidR="005A58BF" w:rsidRPr="0084402E" w:rsidRDefault="005A58BF" w:rsidP="004054E0">
            <w:pPr>
              <w:jc w:val="both"/>
              <w:rPr>
                <w:sz w:val="24"/>
                <w:szCs w:val="24"/>
              </w:rPr>
            </w:pPr>
          </w:p>
        </w:tc>
      </w:tr>
      <w:tr w:rsidR="005A58BF" w:rsidRPr="0084402E" w14:paraId="1C729DA0" w14:textId="77777777" w:rsidTr="006E4FEF">
        <w:tc>
          <w:tcPr>
            <w:tcW w:w="4489" w:type="dxa"/>
            <w:tcBorders>
              <w:top w:val="single" w:sz="4" w:space="0" w:color="auto"/>
              <w:bottom w:val="single" w:sz="4" w:space="0" w:color="auto"/>
              <w:right w:val="single" w:sz="24" w:space="0" w:color="auto"/>
            </w:tcBorders>
          </w:tcPr>
          <w:p w14:paraId="480AAEF5" w14:textId="77777777" w:rsidR="005A58BF" w:rsidRPr="0084402E" w:rsidRDefault="005A58BF" w:rsidP="004054E0">
            <w:pPr>
              <w:jc w:val="both"/>
              <w:rPr>
                <w:sz w:val="24"/>
                <w:szCs w:val="24"/>
              </w:rPr>
            </w:pPr>
            <w:r w:rsidRPr="0084402E">
              <w:rPr>
                <w:sz w:val="24"/>
                <w:szCs w:val="24"/>
              </w:rPr>
              <w:t xml:space="preserve">Los indicadores de actividad del SFU, no se consideran útiles ni relevantes para evaluar el desempeño de la operación y la gestión del fondo a nivel estatal. </w:t>
            </w:r>
          </w:p>
        </w:tc>
        <w:tc>
          <w:tcPr>
            <w:tcW w:w="4489" w:type="dxa"/>
            <w:tcBorders>
              <w:top w:val="single" w:sz="4" w:space="0" w:color="auto"/>
              <w:left w:val="single" w:sz="24" w:space="0" w:color="auto"/>
              <w:bottom w:val="single" w:sz="4" w:space="0" w:color="auto"/>
            </w:tcBorders>
          </w:tcPr>
          <w:p w14:paraId="5CE6C724" w14:textId="4D2A5AB7" w:rsidR="005A58BF" w:rsidRPr="0084402E" w:rsidRDefault="005A58BF" w:rsidP="004054E0">
            <w:pPr>
              <w:jc w:val="both"/>
              <w:rPr>
                <w:sz w:val="24"/>
                <w:szCs w:val="24"/>
              </w:rPr>
            </w:pPr>
            <w:r w:rsidRPr="0084402E">
              <w:rPr>
                <w:sz w:val="24"/>
                <w:szCs w:val="24"/>
              </w:rPr>
              <w:t xml:space="preserve">Utilizar los canales o las instancias de coordinación pertinentes para con la Dependencia Coordinadora del Fondo a nivel federal y con </w:t>
            </w:r>
            <w:r w:rsidR="00B04E42" w:rsidRPr="0084402E">
              <w:rPr>
                <w:sz w:val="24"/>
                <w:szCs w:val="24"/>
              </w:rPr>
              <w:t xml:space="preserve">el </w:t>
            </w:r>
            <w:r w:rsidRPr="0084402E">
              <w:rPr>
                <w:sz w:val="24"/>
                <w:szCs w:val="24"/>
              </w:rPr>
              <w:t xml:space="preserve">resto de las entidades federativas para discutir la pertinencia y utilidad de estos indicadores y para, en su caso, proponer y discutir mejores indicadores. </w:t>
            </w:r>
          </w:p>
        </w:tc>
      </w:tr>
      <w:tr w:rsidR="005A58BF" w:rsidRPr="0084402E" w14:paraId="1A770B0A" w14:textId="77777777" w:rsidTr="006E4FEF">
        <w:tc>
          <w:tcPr>
            <w:tcW w:w="4489" w:type="dxa"/>
            <w:tcBorders>
              <w:top w:val="single" w:sz="4" w:space="0" w:color="auto"/>
              <w:bottom w:val="single" w:sz="4" w:space="0" w:color="auto"/>
              <w:right w:val="single" w:sz="24" w:space="0" w:color="auto"/>
            </w:tcBorders>
          </w:tcPr>
          <w:p w14:paraId="7415CC07" w14:textId="77777777" w:rsidR="005A58BF" w:rsidRPr="0084402E" w:rsidRDefault="005A58BF" w:rsidP="004054E0">
            <w:pPr>
              <w:jc w:val="both"/>
              <w:rPr>
                <w:sz w:val="24"/>
                <w:szCs w:val="24"/>
              </w:rPr>
            </w:pPr>
            <w:r w:rsidRPr="0084402E">
              <w:rPr>
                <w:sz w:val="24"/>
                <w:szCs w:val="24"/>
              </w:rPr>
              <w:t>Los indicadores de Componente del SFU solo dan cuenta de los servicios educativos impartidos en alfabetización primaria y secundaria (pues son los más estratégicos) y no se registra el desempeño de otras modalidades de servicios que otorga el IEAEY.</w:t>
            </w:r>
          </w:p>
        </w:tc>
        <w:tc>
          <w:tcPr>
            <w:tcW w:w="4489" w:type="dxa"/>
            <w:vMerge w:val="restart"/>
            <w:tcBorders>
              <w:top w:val="single" w:sz="4" w:space="0" w:color="auto"/>
              <w:left w:val="single" w:sz="24" w:space="0" w:color="auto"/>
            </w:tcBorders>
          </w:tcPr>
          <w:p w14:paraId="03411EA2" w14:textId="77777777" w:rsidR="005A58BF" w:rsidRPr="0084402E" w:rsidRDefault="005A58BF" w:rsidP="004054E0">
            <w:pPr>
              <w:jc w:val="both"/>
              <w:rPr>
                <w:sz w:val="24"/>
                <w:szCs w:val="24"/>
              </w:rPr>
            </w:pPr>
            <w:r w:rsidRPr="0084402E">
              <w:rPr>
                <w:sz w:val="24"/>
                <w:szCs w:val="24"/>
              </w:rPr>
              <w:t xml:space="preserve">Realizar un rediseño de la MIR bajo una aplicación estricta de la Metodología del Marco Lógico, con reconocimiento de las variables relevantes para medir el logro de los objetivos del programa y del Fondo, como base para el establecimiento de metas adecuadas y congruentes. </w:t>
            </w:r>
          </w:p>
          <w:p w14:paraId="7440EA84" w14:textId="77777777" w:rsidR="005A58BF" w:rsidRPr="0084402E" w:rsidRDefault="005A58BF" w:rsidP="004054E0">
            <w:pPr>
              <w:jc w:val="both"/>
              <w:rPr>
                <w:sz w:val="24"/>
                <w:szCs w:val="24"/>
              </w:rPr>
            </w:pPr>
            <w:r w:rsidRPr="0084402E">
              <w:rPr>
                <w:sz w:val="24"/>
                <w:szCs w:val="24"/>
              </w:rPr>
              <w:t xml:space="preserve">Identificar y/o generar de manera sistemática y ordenada la información que alimenta estas variables para que sea posible el seguimiento al </w:t>
            </w:r>
            <w:r w:rsidRPr="0084402E">
              <w:rPr>
                <w:sz w:val="24"/>
                <w:szCs w:val="24"/>
              </w:rPr>
              <w:lastRenderedPageBreak/>
              <w:t xml:space="preserve">desempeño del programa y sus resultados. </w:t>
            </w:r>
          </w:p>
          <w:p w14:paraId="7971B699" w14:textId="728F41F1" w:rsidR="005A58BF" w:rsidRPr="0084402E" w:rsidRDefault="005A58BF" w:rsidP="004054E0">
            <w:pPr>
              <w:jc w:val="both"/>
              <w:rPr>
                <w:sz w:val="24"/>
                <w:szCs w:val="24"/>
              </w:rPr>
            </w:pPr>
            <w:r w:rsidRPr="0084402E">
              <w:rPr>
                <w:sz w:val="24"/>
                <w:szCs w:val="24"/>
              </w:rPr>
              <w:t>Tomar en cuenta que existen indicadores obligatorios cuyos resultados se deben reportar a la Federación a través del SFU, por lo que es recomendable no generar indicadores adicionales que sean una  expresión similar de las mismas variables. Procurar que los indicadores adicionales que tenga la MIR estat</w:t>
            </w:r>
            <w:r w:rsidR="00B04E42" w:rsidRPr="0084402E">
              <w:rPr>
                <w:sz w:val="24"/>
                <w:szCs w:val="24"/>
              </w:rPr>
              <w:t>al tengan un aporte marginal, a</w:t>
            </w:r>
            <w:r w:rsidRPr="0084402E">
              <w:rPr>
                <w:sz w:val="24"/>
                <w:szCs w:val="24"/>
              </w:rPr>
              <w:t xml:space="preserve"> los indicadores del SFU, de lo contrario utilizar los mismos. </w:t>
            </w:r>
          </w:p>
        </w:tc>
      </w:tr>
      <w:tr w:rsidR="005A58BF" w:rsidRPr="0084402E" w14:paraId="4BABC663" w14:textId="77777777" w:rsidTr="006E4FEF">
        <w:tc>
          <w:tcPr>
            <w:tcW w:w="4489" w:type="dxa"/>
            <w:tcBorders>
              <w:top w:val="single" w:sz="4" w:space="0" w:color="auto"/>
              <w:bottom w:val="single" w:sz="4" w:space="0" w:color="auto"/>
              <w:right w:val="single" w:sz="24" w:space="0" w:color="auto"/>
            </w:tcBorders>
          </w:tcPr>
          <w:p w14:paraId="63EF310F" w14:textId="77777777" w:rsidR="005A58BF" w:rsidRPr="0084402E" w:rsidRDefault="005A58BF" w:rsidP="004054E0">
            <w:pPr>
              <w:jc w:val="both"/>
              <w:rPr>
                <w:sz w:val="24"/>
                <w:szCs w:val="24"/>
              </w:rPr>
            </w:pPr>
            <w:r w:rsidRPr="0084402E">
              <w:rPr>
                <w:sz w:val="24"/>
                <w:szCs w:val="24"/>
              </w:rPr>
              <w:t>La MIR estatal del programa presupuestario “Rezago educativo” no tiene indicador a nivel de Fin; no tiene explícitas las variables de ningún indicador.</w:t>
            </w:r>
          </w:p>
        </w:tc>
        <w:tc>
          <w:tcPr>
            <w:tcW w:w="4489" w:type="dxa"/>
            <w:vMerge/>
            <w:tcBorders>
              <w:left w:val="single" w:sz="24" w:space="0" w:color="auto"/>
            </w:tcBorders>
          </w:tcPr>
          <w:p w14:paraId="6A39EFA7" w14:textId="77777777" w:rsidR="005A58BF" w:rsidRPr="0084402E" w:rsidRDefault="005A58BF" w:rsidP="004054E0">
            <w:pPr>
              <w:jc w:val="both"/>
              <w:rPr>
                <w:sz w:val="24"/>
                <w:szCs w:val="24"/>
              </w:rPr>
            </w:pPr>
          </w:p>
        </w:tc>
      </w:tr>
      <w:tr w:rsidR="005A58BF" w:rsidRPr="0084402E" w14:paraId="400A403D" w14:textId="77777777" w:rsidTr="006E4FEF">
        <w:tc>
          <w:tcPr>
            <w:tcW w:w="4489" w:type="dxa"/>
            <w:tcBorders>
              <w:top w:val="single" w:sz="4" w:space="0" w:color="auto"/>
              <w:bottom w:val="single" w:sz="4" w:space="0" w:color="auto"/>
              <w:right w:val="single" w:sz="24" w:space="0" w:color="auto"/>
            </w:tcBorders>
          </w:tcPr>
          <w:p w14:paraId="17E6B350" w14:textId="77777777" w:rsidR="005A58BF" w:rsidRPr="0084402E" w:rsidRDefault="005A58BF" w:rsidP="004054E0">
            <w:pPr>
              <w:jc w:val="both"/>
              <w:rPr>
                <w:sz w:val="24"/>
                <w:szCs w:val="24"/>
              </w:rPr>
            </w:pPr>
            <w:r w:rsidRPr="0084402E">
              <w:rPr>
                <w:sz w:val="24"/>
                <w:szCs w:val="24"/>
              </w:rPr>
              <w:lastRenderedPageBreak/>
              <w:t>Falta de claridad en los indicadores de la MIR estatal y en los criterios para establecer sus metas.</w:t>
            </w:r>
          </w:p>
        </w:tc>
        <w:tc>
          <w:tcPr>
            <w:tcW w:w="4489" w:type="dxa"/>
            <w:vMerge/>
            <w:tcBorders>
              <w:left w:val="single" w:sz="24" w:space="0" w:color="auto"/>
            </w:tcBorders>
          </w:tcPr>
          <w:p w14:paraId="0879B465" w14:textId="77777777" w:rsidR="005A58BF" w:rsidRPr="0084402E" w:rsidRDefault="005A58BF" w:rsidP="004054E0">
            <w:pPr>
              <w:jc w:val="both"/>
              <w:rPr>
                <w:sz w:val="24"/>
                <w:szCs w:val="24"/>
              </w:rPr>
            </w:pPr>
          </w:p>
        </w:tc>
      </w:tr>
      <w:tr w:rsidR="005A58BF" w:rsidRPr="0084402E" w14:paraId="146856DE" w14:textId="77777777" w:rsidTr="006E4FEF">
        <w:tc>
          <w:tcPr>
            <w:tcW w:w="4489" w:type="dxa"/>
            <w:tcBorders>
              <w:top w:val="single" w:sz="4" w:space="0" w:color="auto"/>
              <w:bottom w:val="thickThinSmallGap" w:sz="24" w:space="0" w:color="auto"/>
              <w:right w:val="single" w:sz="24" w:space="0" w:color="auto"/>
            </w:tcBorders>
          </w:tcPr>
          <w:p w14:paraId="644F2AD1" w14:textId="77777777" w:rsidR="005A58BF" w:rsidRPr="0084402E" w:rsidRDefault="005A58BF" w:rsidP="004054E0">
            <w:pPr>
              <w:jc w:val="both"/>
              <w:rPr>
                <w:sz w:val="24"/>
                <w:szCs w:val="24"/>
              </w:rPr>
            </w:pPr>
            <w:r w:rsidRPr="0084402E">
              <w:rPr>
                <w:sz w:val="24"/>
                <w:szCs w:val="24"/>
              </w:rPr>
              <w:lastRenderedPageBreak/>
              <w:t>Riesgo de duplicidad de los indicadores de la MIR estatal con respecto a los indicadores del SFU.</w:t>
            </w:r>
          </w:p>
        </w:tc>
        <w:tc>
          <w:tcPr>
            <w:tcW w:w="4489" w:type="dxa"/>
            <w:vMerge/>
            <w:tcBorders>
              <w:left w:val="single" w:sz="24" w:space="0" w:color="auto"/>
              <w:bottom w:val="thickThinSmallGap" w:sz="24" w:space="0" w:color="auto"/>
            </w:tcBorders>
          </w:tcPr>
          <w:p w14:paraId="4C2A78C7" w14:textId="77777777" w:rsidR="005A58BF" w:rsidRPr="0084402E" w:rsidRDefault="005A58BF" w:rsidP="004054E0">
            <w:pPr>
              <w:jc w:val="both"/>
              <w:rPr>
                <w:sz w:val="24"/>
                <w:szCs w:val="24"/>
              </w:rPr>
            </w:pPr>
          </w:p>
        </w:tc>
      </w:tr>
    </w:tbl>
    <w:p w14:paraId="187B0DA8" w14:textId="77777777" w:rsidR="004054E0" w:rsidRPr="0084402E" w:rsidRDefault="004054E0" w:rsidP="005A58BF">
      <w:pPr>
        <w:rPr>
          <w:sz w:val="24"/>
          <w:szCs w:val="24"/>
        </w:rPr>
      </w:pPr>
    </w:p>
    <w:p w14:paraId="397C721C" w14:textId="77777777" w:rsidR="004054E0" w:rsidRPr="0084402E" w:rsidRDefault="004054E0" w:rsidP="005A58BF">
      <w:pPr>
        <w:rPr>
          <w:sz w:val="24"/>
          <w:szCs w:val="24"/>
        </w:rPr>
      </w:pPr>
    </w:p>
    <w:tbl>
      <w:tblPr>
        <w:tblStyle w:val="Tablaconcuadrcula"/>
        <w:tblW w:w="0" w:type="auto"/>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4489"/>
        <w:gridCol w:w="4489"/>
      </w:tblGrid>
      <w:tr w:rsidR="005A58BF" w:rsidRPr="0084402E" w14:paraId="7B3005B2" w14:textId="77777777" w:rsidTr="006E4FEF">
        <w:tc>
          <w:tcPr>
            <w:tcW w:w="8978" w:type="dxa"/>
            <w:gridSpan w:val="2"/>
            <w:tcBorders>
              <w:top w:val="single" w:sz="24" w:space="0" w:color="auto"/>
            </w:tcBorders>
          </w:tcPr>
          <w:p w14:paraId="29FD72F6" w14:textId="77777777" w:rsidR="005A58BF" w:rsidRPr="0084402E" w:rsidRDefault="005A58BF" w:rsidP="006E4FEF">
            <w:pPr>
              <w:jc w:val="center"/>
              <w:rPr>
                <w:sz w:val="24"/>
                <w:szCs w:val="24"/>
              </w:rPr>
            </w:pPr>
            <w:r w:rsidRPr="0084402E">
              <w:rPr>
                <w:sz w:val="24"/>
                <w:szCs w:val="24"/>
              </w:rPr>
              <w:t>Análisis Interno: Fortalezas Debilidades y Recomendaciones</w:t>
            </w:r>
          </w:p>
        </w:tc>
      </w:tr>
      <w:tr w:rsidR="005A58BF" w:rsidRPr="0084402E" w14:paraId="41F38166" w14:textId="77777777" w:rsidTr="006E4FEF">
        <w:tc>
          <w:tcPr>
            <w:tcW w:w="8978" w:type="dxa"/>
            <w:gridSpan w:val="2"/>
          </w:tcPr>
          <w:p w14:paraId="7C577369" w14:textId="77777777" w:rsidR="005A58BF" w:rsidRPr="0084402E" w:rsidRDefault="005A58BF" w:rsidP="005A58BF">
            <w:pPr>
              <w:pStyle w:val="Prrafodelista"/>
              <w:numPr>
                <w:ilvl w:val="0"/>
                <w:numId w:val="22"/>
              </w:numPr>
              <w:spacing w:after="0" w:line="240" w:lineRule="auto"/>
              <w:jc w:val="center"/>
              <w:rPr>
                <w:sz w:val="24"/>
                <w:szCs w:val="24"/>
              </w:rPr>
            </w:pPr>
            <w:r w:rsidRPr="0084402E">
              <w:rPr>
                <w:sz w:val="24"/>
                <w:szCs w:val="24"/>
              </w:rPr>
              <w:t>EJERCICIO DE LOS RECURSOS</w:t>
            </w:r>
          </w:p>
        </w:tc>
      </w:tr>
      <w:tr w:rsidR="005A58BF" w:rsidRPr="0084402E" w14:paraId="6F428177" w14:textId="77777777" w:rsidTr="006E4FEF">
        <w:tc>
          <w:tcPr>
            <w:tcW w:w="8978" w:type="dxa"/>
            <w:gridSpan w:val="2"/>
            <w:tcBorders>
              <w:top w:val="single" w:sz="24" w:space="0" w:color="auto"/>
              <w:bottom w:val="single" w:sz="4" w:space="0" w:color="auto"/>
            </w:tcBorders>
          </w:tcPr>
          <w:p w14:paraId="35B80271" w14:textId="77777777" w:rsidR="005A58BF" w:rsidRPr="0084402E" w:rsidRDefault="005A58BF" w:rsidP="006E4FEF">
            <w:pPr>
              <w:jc w:val="center"/>
              <w:rPr>
                <w:sz w:val="24"/>
                <w:szCs w:val="24"/>
              </w:rPr>
            </w:pPr>
            <w:r w:rsidRPr="0084402E">
              <w:rPr>
                <w:sz w:val="24"/>
                <w:szCs w:val="24"/>
              </w:rPr>
              <w:t>Fortalezas</w:t>
            </w:r>
          </w:p>
        </w:tc>
      </w:tr>
      <w:tr w:rsidR="005A58BF" w:rsidRPr="0084402E" w14:paraId="3891CA0B" w14:textId="77777777" w:rsidTr="006E4FEF">
        <w:tc>
          <w:tcPr>
            <w:tcW w:w="8978" w:type="dxa"/>
            <w:gridSpan w:val="2"/>
            <w:tcBorders>
              <w:top w:val="single" w:sz="4" w:space="0" w:color="auto"/>
            </w:tcBorders>
          </w:tcPr>
          <w:p w14:paraId="656D98F5" w14:textId="0F3B6389" w:rsidR="005A58BF" w:rsidRPr="0084402E" w:rsidRDefault="005A58BF" w:rsidP="004054E0">
            <w:pPr>
              <w:jc w:val="both"/>
              <w:rPr>
                <w:sz w:val="24"/>
                <w:szCs w:val="24"/>
              </w:rPr>
            </w:pPr>
            <w:r w:rsidRPr="0084402E">
              <w:rPr>
                <w:sz w:val="24"/>
                <w:szCs w:val="24"/>
              </w:rPr>
              <w:t>Hay un fortalecimiento presupuestario importante del programa con respecto al año anterior</w:t>
            </w:r>
            <w:r w:rsidR="004054E0" w:rsidRPr="0084402E">
              <w:rPr>
                <w:sz w:val="24"/>
                <w:szCs w:val="24"/>
              </w:rPr>
              <w:t>.</w:t>
            </w:r>
          </w:p>
        </w:tc>
      </w:tr>
      <w:tr w:rsidR="005A58BF" w:rsidRPr="0084402E" w14:paraId="572154B8" w14:textId="77777777" w:rsidTr="006E4FEF">
        <w:tc>
          <w:tcPr>
            <w:tcW w:w="8978" w:type="dxa"/>
            <w:gridSpan w:val="2"/>
          </w:tcPr>
          <w:p w14:paraId="4C00D612" w14:textId="7AE8CE4E" w:rsidR="005A58BF" w:rsidRPr="0084402E" w:rsidRDefault="005A58BF" w:rsidP="004054E0">
            <w:pPr>
              <w:jc w:val="both"/>
              <w:rPr>
                <w:sz w:val="24"/>
                <w:szCs w:val="24"/>
              </w:rPr>
            </w:pPr>
            <w:r w:rsidRPr="0084402E">
              <w:rPr>
                <w:sz w:val="24"/>
                <w:szCs w:val="24"/>
              </w:rPr>
              <w:t xml:space="preserve">El </w:t>
            </w:r>
            <w:r w:rsidR="00B04E42" w:rsidRPr="0084402E">
              <w:rPr>
                <w:sz w:val="24"/>
                <w:szCs w:val="24"/>
              </w:rPr>
              <w:t>presupuesto del programa y del F</w:t>
            </w:r>
            <w:r w:rsidRPr="0084402E">
              <w:rPr>
                <w:sz w:val="24"/>
                <w:szCs w:val="24"/>
              </w:rPr>
              <w:t xml:space="preserve">ondo se </w:t>
            </w:r>
            <w:r w:rsidR="004054E0" w:rsidRPr="0084402E">
              <w:rPr>
                <w:sz w:val="24"/>
                <w:szCs w:val="24"/>
              </w:rPr>
              <w:t>incrementó</w:t>
            </w:r>
            <w:r w:rsidRPr="0084402E">
              <w:rPr>
                <w:sz w:val="24"/>
                <w:szCs w:val="24"/>
              </w:rPr>
              <w:t xml:space="preserve"> durante el ejercicio</w:t>
            </w:r>
            <w:r w:rsidR="004054E0" w:rsidRPr="0084402E">
              <w:rPr>
                <w:sz w:val="24"/>
                <w:szCs w:val="24"/>
              </w:rPr>
              <w:t>.</w:t>
            </w:r>
          </w:p>
        </w:tc>
      </w:tr>
      <w:tr w:rsidR="005A58BF" w:rsidRPr="0084402E" w14:paraId="2835A4F3" w14:textId="77777777" w:rsidTr="006E4FEF">
        <w:tc>
          <w:tcPr>
            <w:tcW w:w="8978" w:type="dxa"/>
            <w:gridSpan w:val="2"/>
          </w:tcPr>
          <w:p w14:paraId="34BBEB10" w14:textId="060C039D" w:rsidR="005A58BF" w:rsidRPr="0084402E" w:rsidRDefault="004054E0" w:rsidP="004054E0">
            <w:pPr>
              <w:jc w:val="both"/>
              <w:rPr>
                <w:sz w:val="24"/>
                <w:szCs w:val="24"/>
              </w:rPr>
            </w:pPr>
            <w:r w:rsidRPr="0084402E">
              <w:rPr>
                <w:sz w:val="24"/>
                <w:szCs w:val="24"/>
              </w:rPr>
              <w:t xml:space="preserve">El presupuesto </w:t>
            </w:r>
            <w:r w:rsidR="005A58BF" w:rsidRPr="0084402E">
              <w:rPr>
                <w:sz w:val="24"/>
                <w:szCs w:val="24"/>
              </w:rPr>
              <w:t>modificado fue ejercido en su totalidad.</w:t>
            </w:r>
          </w:p>
        </w:tc>
      </w:tr>
      <w:tr w:rsidR="005A58BF" w:rsidRPr="0084402E" w14:paraId="4EC327CF" w14:textId="77777777" w:rsidTr="006E4FEF">
        <w:tc>
          <w:tcPr>
            <w:tcW w:w="8978" w:type="dxa"/>
            <w:gridSpan w:val="2"/>
            <w:tcBorders>
              <w:bottom w:val="single" w:sz="24" w:space="0" w:color="auto"/>
            </w:tcBorders>
          </w:tcPr>
          <w:p w14:paraId="2D05B37A" w14:textId="77777777" w:rsidR="005A58BF" w:rsidRPr="0084402E" w:rsidRDefault="005A58BF" w:rsidP="004054E0">
            <w:pPr>
              <w:jc w:val="both"/>
              <w:rPr>
                <w:sz w:val="24"/>
                <w:szCs w:val="24"/>
              </w:rPr>
            </w:pPr>
          </w:p>
        </w:tc>
      </w:tr>
      <w:tr w:rsidR="005A58BF" w:rsidRPr="0084402E" w14:paraId="75926DC0" w14:textId="77777777" w:rsidTr="006E4FEF">
        <w:tc>
          <w:tcPr>
            <w:tcW w:w="4489" w:type="dxa"/>
            <w:tcBorders>
              <w:top w:val="single" w:sz="24" w:space="0" w:color="auto"/>
              <w:bottom w:val="single" w:sz="4" w:space="0" w:color="auto"/>
              <w:right w:val="single" w:sz="24" w:space="0" w:color="auto"/>
            </w:tcBorders>
          </w:tcPr>
          <w:p w14:paraId="2FDB1DE5" w14:textId="77777777" w:rsidR="005A58BF" w:rsidRPr="0084402E" w:rsidRDefault="005A58BF" w:rsidP="006E4FEF">
            <w:pPr>
              <w:jc w:val="center"/>
              <w:rPr>
                <w:sz w:val="24"/>
                <w:szCs w:val="24"/>
              </w:rPr>
            </w:pPr>
            <w:r w:rsidRPr="0084402E">
              <w:rPr>
                <w:sz w:val="24"/>
                <w:szCs w:val="24"/>
              </w:rPr>
              <w:t>Retos</w:t>
            </w:r>
          </w:p>
        </w:tc>
        <w:tc>
          <w:tcPr>
            <w:tcW w:w="4489" w:type="dxa"/>
            <w:tcBorders>
              <w:top w:val="single" w:sz="24" w:space="0" w:color="auto"/>
              <w:left w:val="single" w:sz="24" w:space="0" w:color="auto"/>
              <w:bottom w:val="single" w:sz="4" w:space="0" w:color="auto"/>
            </w:tcBorders>
          </w:tcPr>
          <w:p w14:paraId="0416B10A" w14:textId="77777777" w:rsidR="005A58BF" w:rsidRPr="0084402E" w:rsidRDefault="005A58BF" w:rsidP="006E4FEF">
            <w:pPr>
              <w:jc w:val="center"/>
              <w:rPr>
                <w:sz w:val="24"/>
                <w:szCs w:val="24"/>
              </w:rPr>
            </w:pPr>
            <w:r w:rsidRPr="0084402E">
              <w:rPr>
                <w:sz w:val="24"/>
                <w:szCs w:val="24"/>
              </w:rPr>
              <w:t>Recomendaciones</w:t>
            </w:r>
          </w:p>
        </w:tc>
      </w:tr>
      <w:tr w:rsidR="005A58BF" w:rsidRPr="0084402E" w14:paraId="552DBA57" w14:textId="77777777" w:rsidTr="006E4FEF">
        <w:tc>
          <w:tcPr>
            <w:tcW w:w="4489" w:type="dxa"/>
            <w:tcBorders>
              <w:top w:val="single" w:sz="4" w:space="0" w:color="auto"/>
              <w:bottom w:val="single" w:sz="4" w:space="0" w:color="auto"/>
              <w:right w:val="single" w:sz="24" w:space="0" w:color="auto"/>
            </w:tcBorders>
          </w:tcPr>
          <w:p w14:paraId="0D894388" w14:textId="77777777" w:rsidR="005A58BF" w:rsidRPr="0084402E" w:rsidRDefault="005A58BF" w:rsidP="0065127C">
            <w:pPr>
              <w:jc w:val="both"/>
              <w:rPr>
                <w:sz w:val="24"/>
                <w:szCs w:val="24"/>
              </w:rPr>
            </w:pPr>
            <w:r w:rsidRPr="0084402E">
              <w:rPr>
                <w:sz w:val="24"/>
                <w:szCs w:val="24"/>
              </w:rPr>
              <w:t>Los recursos del FAETA tuvieron un incremento moderado con respecto al año anterior</w:t>
            </w:r>
          </w:p>
        </w:tc>
        <w:tc>
          <w:tcPr>
            <w:tcW w:w="4489" w:type="dxa"/>
            <w:tcBorders>
              <w:top w:val="single" w:sz="4" w:space="0" w:color="auto"/>
              <w:left w:val="single" w:sz="24" w:space="0" w:color="auto"/>
              <w:bottom w:val="single" w:sz="4" w:space="0" w:color="auto"/>
            </w:tcBorders>
          </w:tcPr>
          <w:p w14:paraId="65F077B8" w14:textId="4FD8EDE2" w:rsidR="005A58BF" w:rsidRPr="0084402E" w:rsidRDefault="00BF4AE3" w:rsidP="00033885">
            <w:pPr>
              <w:jc w:val="both"/>
              <w:rPr>
                <w:sz w:val="24"/>
                <w:szCs w:val="24"/>
              </w:rPr>
            </w:pPr>
            <w:r w:rsidRPr="0084402E">
              <w:rPr>
                <w:sz w:val="24"/>
                <w:szCs w:val="24"/>
              </w:rPr>
              <w:t xml:space="preserve">A través del uso de indicadores adecuados, </w:t>
            </w:r>
            <w:r w:rsidR="0014477D" w:rsidRPr="0084402E">
              <w:rPr>
                <w:sz w:val="24"/>
                <w:szCs w:val="24"/>
              </w:rPr>
              <w:t>generar información que sustente el planteamiento de la necesidad de mayores recursos en las instancias de coordi</w:t>
            </w:r>
            <w:r w:rsidR="00B04E42" w:rsidRPr="0084402E">
              <w:rPr>
                <w:sz w:val="24"/>
                <w:szCs w:val="24"/>
              </w:rPr>
              <w:t xml:space="preserve">nación </w:t>
            </w:r>
            <w:r w:rsidR="00B04E42" w:rsidRPr="0084402E">
              <w:rPr>
                <w:sz w:val="24"/>
                <w:szCs w:val="24"/>
              </w:rPr>
              <w:lastRenderedPageBreak/>
              <w:t>correspondientes con la F</w:t>
            </w:r>
            <w:r w:rsidR="0014477D" w:rsidRPr="0084402E">
              <w:rPr>
                <w:sz w:val="24"/>
                <w:szCs w:val="24"/>
              </w:rPr>
              <w:t xml:space="preserve">ederación y el resto de las entidades federativas. </w:t>
            </w:r>
          </w:p>
        </w:tc>
      </w:tr>
      <w:tr w:rsidR="005A58BF" w:rsidRPr="0084402E" w14:paraId="49893C82" w14:textId="77777777" w:rsidTr="006E4FEF">
        <w:tc>
          <w:tcPr>
            <w:tcW w:w="4489" w:type="dxa"/>
            <w:tcBorders>
              <w:top w:val="single" w:sz="4" w:space="0" w:color="auto"/>
              <w:bottom w:val="single" w:sz="4" w:space="0" w:color="auto"/>
              <w:right w:val="single" w:sz="24" w:space="0" w:color="auto"/>
            </w:tcBorders>
          </w:tcPr>
          <w:p w14:paraId="5652760B" w14:textId="77777777" w:rsidR="005A58BF" w:rsidRPr="0084402E" w:rsidRDefault="005A58BF" w:rsidP="0065127C">
            <w:pPr>
              <w:jc w:val="both"/>
              <w:rPr>
                <w:sz w:val="24"/>
                <w:szCs w:val="24"/>
              </w:rPr>
            </w:pPr>
            <w:r w:rsidRPr="0084402E">
              <w:rPr>
                <w:sz w:val="24"/>
                <w:szCs w:val="24"/>
              </w:rPr>
              <w:lastRenderedPageBreak/>
              <w:t xml:space="preserve">Pese al fortalecimiento presupuestario del programa, se incrementó de manera moderada la población atendida y la cobertura. </w:t>
            </w:r>
          </w:p>
        </w:tc>
        <w:tc>
          <w:tcPr>
            <w:tcW w:w="4489" w:type="dxa"/>
            <w:tcBorders>
              <w:top w:val="single" w:sz="4" w:space="0" w:color="auto"/>
              <w:left w:val="single" w:sz="24" w:space="0" w:color="auto"/>
              <w:bottom w:val="single" w:sz="4" w:space="0" w:color="auto"/>
            </w:tcBorders>
          </w:tcPr>
          <w:p w14:paraId="3487670D" w14:textId="7FF2C7A0" w:rsidR="005A58BF" w:rsidRPr="0084402E" w:rsidRDefault="002E0FC0" w:rsidP="0065127C">
            <w:pPr>
              <w:jc w:val="both"/>
              <w:rPr>
                <w:sz w:val="24"/>
                <w:szCs w:val="24"/>
              </w:rPr>
            </w:pPr>
            <w:r w:rsidRPr="0084402E">
              <w:rPr>
                <w:sz w:val="24"/>
                <w:szCs w:val="24"/>
              </w:rPr>
              <w:t xml:space="preserve">Derivado del análisis de la dimensión de la población objetivo, y de los criterios para su definición, así como de las acciones necesarias para incrementar la cobertura, </w:t>
            </w:r>
            <w:r w:rsidR="0065127C" w:rsidRPr="0084402E">
              <w:rPr>
                <w:sz w:val="24"/>
                <w:szCs w:val="24"/>
              </w:rPr>
              <w:t>y de</w:t>
            </w:r>
            <w:r w:rsidRPr="0084402E">
              <w:rPr>
                <w:sz w:val="24"/>
                <w:szCs w:val="24"/>
              </w:rPr>
              <w:t xml:space="preserve"> las alternativas</w:t>
            </w:r>
            <w:r w:rsidR="00BF4AE3" w:rsidRPr="0084402E">
              <w:rPr>
                <w:sz w:val="24"/>
                <w:szCs w:val="24"/>
              </w:rPr>
              <w:t>, que se recomienda</w:t>
            </w:r>
            <w:r w:rsidR="0065127C" w:rsidRPr="0084402E">
              <w:rPr>
                <w:sz w:val="24"/>
                <w:szCs w:val="24"/>
              </w:rPr>
              <w:t>n</w:t>
            </w:r>
            <w:r w:rsidR="00BF4AE3" w:rsidRPr="0084402E">
              <w:rPr>
                <w:sz w:val="24"/>
                <w:szCs w:val="24"/>
              </w:rPr>
              <w:t xml:space="preserve"> en el apartado de Cobertura de la Atención, realizar un análisis para identificar</w:t>
            </w:r>
            <w:r w:rsidRPr="0084402E">
              <w:rPr>
                <w:sz w:val="24"/>
                <w:szCs w:val="24"/>
              </w:rPr>
              <w:t xml:space="preserve"> </w:t>
            </w:r>
            <w:r w:rsidR="000710EC" w:rsidRPr="0084402E">
              <w:rPr>
                <w:sz w:val="24"/>
                <w:szCs w:val="24"/>
              </w:rPr>
              <w:t xml:space="preserve">hacer más eficiente el uso de </w:t>
            </w:r>
            <w:r w:rsidRPr="0084402E">
              <w:rPr>
                <w:sz w:val="24"/>
                <w:szCs w:val="24"/>
              </w:rPr>
              <w:t xml:space="preserve">los recursos financieros, materiales y humanos para lograr ese propósito. </w:t>
            </w:r>
            <w:r w:rsidR="0065127C" w:rsidRPr="0084402E">
              <w:rPr>
                <w:sz w:val="24"/>
                <w:szCs w:val="24"/>
              </w:rPr>
              <w:t>El generar</w:t>
            </w:r>
            <w:r w:rsidR="00BF4AE3" w:rsidRPr="0084402E">
              <w:rPr>
                <w:sz w:val="24"/>
                <w:szCs w:val="24"/>
              </w:rPr>
              <w:t xml:space="preserve"> indicadores de gestión que midan la dimensión de la eficiencia, sería de gran utilidad, por lo que se recomienda incluir este tipo de indicadores en la MIR del programa estatal Rezago Educativo.  </w:t>
            </w:r>
          </w:p>
        </w:tc>
      </w:tr>
    </w:tbl>
    <w:p w14:paraId="30E31873" w14:textId="77777777" w:rsidR="005A58BF" w:rsidRPr="0084402E" w:rsidRDefault="005A58BF" w:rsidP="005A58BF">
      <w:pPr>
        <w:rPr>
          <w:sz w:val="24"/>
          <w:szCs w:val="24"/>
        </w:rPr>
      </w:pPr>
    </w:p>
    <w:p w14:paraId="132DC9B9" w14:textId="77777777" w:rsidR="00A328AE" w:rsidRPr="0084402E" w:rsidRDefault="00A328AE" w:rsidP="004C0514">
      <w:pPr>
        <w:spacing w:after="0" w:line="240" w:lineRule="auto"/>
        <w:rPr>
          <w:rFonts w:ascii="Arial" w:eastAsiaTheme="minorEastAsia" w:hAnsi="Arial" w:cs="Arial"/>
          <w:sz w:val="24"/>
          <w:szCs w:val="24"/>
        </w:rPr>
      </w:pPr>
    </w:p>
    <w:p w14:paraId="5EA07ECB" w14:textId="308513D5" w:rsidR="00197E7F" w:rsidRDefault="00197E7F">
      <w:pPr>
        <w:spacing w:after="0" w:line="240" w:lineRule="auto"/>
        <w:rPr>
          <w:rFonts w:ascii="Arial" w:hAnsi="Arial" w:cs="Arial"/>
          <w:sz w:val="24"/>
          <w:szCs w:val="24"/>
        </w:rPr>
      </w:pPr>
      <w:r>
        <w:rPr>
          <w:rFonts w:ascii="Arial" w:hAnsi="Arial" w:cs="Arial"/>
          <w:sz w:val="24"/>
          <w:szCs w:val="24"/>
        </w:rPr>
        <w:br w:type="page"/>
      </w:r>
    </w:p>
    <w:p w14:paraId="7C568E78" w14:textId="77777777" w:rsidR="00A328AE" w:rsidRPr="0084402E" w:rsidRDefault="00A328AE" w:rsidP="004C0514">
      <w:pPr>
        <w:spacing w:after="0" w:line="360" w:lineRule="auto"/>
        <w:jc w:val="center"/>
        <w:rPr>
          <w:rFonts w:ascii="Arial" w:hAnsi="Arial" w:cs="Arial"/>
          <w:sz w:val="24"/>
          <w:szCs w:val="24"/>
        </w:rPr>
      </w:pPr>
    </w:p>
    <w:p w14:paraId="4E2D219D" w14:textId="77777777" w:rsidR="00A328AE" w:rsidRPr="0084402E" w:rsidRDefault="00A328AE" w:rsidP="004C0514">
      <w:pPr>
        <w:spacing w:after="0" w:line="360" w:lineRule="auto"/>
        <w:jc w:val="center"/>
        <w:rPr>
          <w:rFonts w:ascii="Arial" w:hAnsi="Arial" w:cs="Arial"/>
          <w:sz w:val="24"/>
          <w:szCs w:val="24"/>
        </w:rPr>
      </w:pPr>
    </w:p>
    <w:p w14:paraId="346F6525" w14:textId="77777777" w:rsidR="00A328AE" w:rsidRPr="0084402E" w:rsidRDefault="00A328AE" w:rsidP="004C0514">
      <w:pPr>
        <w:spacing w:after="0" w:line="360" w:lineRule="auto"/>
        <w:jc w:val="center"/>
        <w:rPr>
          <w:rFonts w:ascii="Arial" w:hAnsi="Arial" w:cs="Arial"/>
          <w:sz w:val="24"/>
          <w:szCs w:val="24"/>
        </w:rPr>
      </w:pPr>
    </w:p>
    <w:p w14:paraId="3087FF81" w14:textId="77777777" w:rsidR="00A328AE" w:rsidRPr="0084402E" w:rsidRDefault="00A328AE" w:rsidP="004C0514">
      <w:pPr>
        <w:spacing w:after="0" w:line="360" w:lineRule="auto"/>
        <w:jc w:val="center"/>
        <w:rPr>
          <w:rFonts w:ascii="Arial" w:hAnsi="Arial" w:cs="Arial"/>
          <w:sz w:val="24"/>
          <w:szCs w:val="24"/>
        </w:rPr>
      </w:pPr>
    </w:p>
    <w:p w14:paraId="6C61C124" w14:textId="77777777" w:rsidR="00A328AE" w:rsidRPr="0084402E" w:rsidRDefault="00A328AE" w:rsidP="004C0514">
      <w:pPr>
        <w:spacing w:after="0" w:line="360" w:lineRule="auto"/>
        <w:jc w:val="center"/>
        <w:rPr>
          <w:rFonts w:ascii="Arial" w:hAnsi="Arial" w:cs="Arial"/>
          <w:sz w:val="24"/>
          <w:szCs w:val="24"/>
        </w:rPr>
      </w:pPr>
    </w:p>
    <w:p w14:paraId="7D3B74A4" w14:textId="77777777" w:rsidR="00A328AE" w:rsidRDefault="00A328AE" w:rsidP="004C0514">
      <w:pPr>
        <w:spacing w:after="0" w:line="360" w:lineRule="auto"/>
        <w:jc w:val="center"/>
        <w:rPr>
          <w:rFonts w:ascii="Arial" w:hAnsi="Arial" w:cs="Arial"/>
          <w:sz w:val="24"/>
          <w:szCs w:val="24"/>
        </w:rPr>
      </w:pPr>
    </w:p>
    <w:p w14:paraId="1FA4855C" w14:textId="77777777" w:rsidR="00197E7F" w:rsidRDefault="00197E7F" w:rsidP="004C0514">
      <w:pPr>
        <w:spacing w:after="0" w:line="360" w:lineRule="auto"/>
        <w:jc w:val="center"/>
        <w:rPr>
          <w:rFonts w:ascii="Arial" w:hAnsi="Arial" w:cs="Arial"/>
          <w:sz w:val="24"/>
          <w:szCs w:val="24"/>
        </w:rPr>
      </w:pPr>
    </w:p>
    <w:p w14:paraId="059CE654" w14:textId="77777777" w:rsidR="00197E7F" w:rsidRDefault="00197E7F" w:rsidP="004C0514">
      <w:pPr>
        <w:spacing w:after="0" w:line="360" w:lineRule="auto"/>
        <w:jc w:val="center"/>
        <w:rPr>
          <w:rFonts w:ascii="Arial" w:hAnsi="Arial" w:cs="Arial"/>
          <w:sz w:val="24"/>
          <w:szCs w:val="24"/>
        </w:rPr>
      </w:pPr>
    </w:p>
    <w:p w14:paraId="6F3CD810" w14:textId="77777777" w:rsidR="00197E7F" w:rsidRDefault="00197E7F" w:rsidP="004C0514">
      <w:pPr>
        <w:spacing w:after="0" w:line="360" w:lineRule="auto"/>
        <w:jc w:val="center"/>
        <w:rPr>
          <w:rFonts w:ascii="Arial" w:hAnsi="Arial" w:cs="Arial"/>
          <w:sz w:val="24"/>
          <w:szCs w:val="24"/>
        </w:rPr>
      </w:pPr>
    </w:p>
    <w:p w14:paraId="0C39DCD2" w14:textId="77777777" w:rsidR="00197E7F" w:rsidRDefault="00197E7F" w:rsidP="004C0514">
      <w:pPr>
        <w:spacing w:after="0" w:line="360" w:lineRule="auto"/>
        <w:jc w:val="center"/>
        <w:rPr>
          <w:rFonts w:ascii="Arial" w:hAnsi="Arial" w:cs="Arial"/>
          <w:sz w:val="24"/>
          <w:szCs w:val="24"/>
        </w:rPr>
      </w:pPr>
    </w:p>
    <w:p w14:paraId="22D91345" w14:textId="77777777" w:rsidR="00197E7F" w:rsidRDefault="00197E7F" w:rsidP="004C0514">
      <w:pPr>
        <w:spacing w:after="0" w:line="360" w:lineRule="auto"/>
        <w:jc w:val="center"/>
        <w:rPr>
          <w:rFonts w:ascii="Arial" w:hAnsi="Arial" w:cs="Arial"/>
          <w:sz w:val="24"/>
          <w:szCs w:val="24"/>
        </w:rPr>
      </w:pPr>
    </w:p>
    <w:p w14:paraId="7CC513A2" w14:textId="77777777" w:rsidR="00197E7F" w:rsidRPr="0084402E" w:rsidRDefault="00197E7F" w:rsidP="004C0514">
      <w:pPr>
        <w:spacing w:after="0" w:line="360" w:lineRule="auto"/>
        <w:jc w:val="center"/>
        <w:rPr>
          <w:rFonts w:ascii="Arial" w:hAnsi="Arial" w:cs="Arial"/>
          <w:sz w:val="24"/>
          <w:szCs w:val="24"/>
        </w:rPr>
      </w:pPr>
    </w:p>
    <w:p w14:paraId="6CF6AD70" w14:textId="77777777" w:rsidR="00A328AE" w:rsidRPr="0084402E" w:rsidRDefault="00A328AE" w:rsidP="004C0514">
      <w:pPr>
        <w:spacing w:after="0" w:line="360" w:lineRule="auto"/>
        <w:jc w:val="center"/>
        <w:rPr>
          <w:rFonts w:ascii="Arial" w:hAnsi="Arial" w:cs="Arial"/>
          <w:sz w:val="24"/>
          <w:szCs w:val="24"/>
        </w:rPr>
      </w:pPr>
    </w:p>
    <w:p w14:paraId="4E689740" w14:textId="77777777" w:rsidR="00A328AE" w:rsidRPr="0084402E" w:rsidRDefault="00A328AE" w:rsidP="004C0514">
      <w:pPr>
        <w:spacing w:after="0" w:line="360" w:lineRule="auto"/>
        <w:jc w:val="center"/>
        <w:rPr>
          <w:rFonts w:ascii="Arial" w:hAnsi="Arial" w:cs="Arial"/>
          <w:sz w:val="24"/>
          <w:szCs w:val="24"/>
        </w:rPr>
      </w:pPr>
    </w:p>
    <w:p w14:paraId="1D7F4BF1" w14:textId="77777777" w:rsidR="00A328AE" w:rsidRPr="0084402E" w:rsidRDefault="006D7BB6" w:rsidP="004C0514">
      <w:pPr>
        <w:spacing w:after="0" w:line="360" w:lineRule="auto"/>
        <w:jc w:val="center"/>
        <w:rPr>
          <w:rFonts w:ascii="Arial" w:hAnsi="Arial" w:cs="Arial"/>
          <w:b/>
          <w:sz w:val="24"/>
          <w:szCs w:val="24"/>
        </w:rPr>
      </w:pPr>
      <w:r w:rsidRPr="0084402E">
        <w:rPr>
          <w:rFonts w:ascii="Arial" w:hAnsi="Arial" w:cs="Arial"/>
          <w:b/>
          <w:sz w:val="24"/>
          <w:szCs w:val="24"/>
        </w:rPr>
        <w:t>ANEXO IV</w:t>
      </w:r>
    </w:p>
    <w:p w14:paraId="37912049" w14:textId="77777777" w:rsidR="00A328AE" w:rsidRPr="0084402E" w:rsidRDefault="006D7BB6" w:rsidP="004C0514">
      <w:pPr>
        <w:spacing w:line="360" w:lineRule="auto"/>
        <w:jc w:val="center"/>
        <w:rPr>
          <w:rFonts w:ascii="Arial" w:eastAsiaTheme="minorEastAsia" w:hAnsi="Arial" w:cs="Arial"/>
          <w:b/>
          <w:sz w:val="24"/>
          <w:szCs w:val="24"/>
        </w:rPr>
      </w:pPr>
      <w:r w:rsidRPr="0084402E">
        <w:rPr>
          <w:rFonts w:ascii="Arial" w:eastAsiaTheme="minorEastAsia" w:hAnsi="Arial" w:cs="Arial"/>
          <w:b/>
          <w:sz w:val="24"/>
          <w:szCs w:val="24"/>
        </w:rPr>
        <w:t>DATOS GENERALES DE LA INSTANCIA TÉCNICA EVALUADORA Y EL COSTO DE LA EVALUACIÓN</w:t>
      </w:r>
    </w:p>
    <w:p w14:paraId="55907226" w14:textId="77777777" w:rsidR="00A328AE" w:rsidRPr="0084402E" w:rsidRDefault="00A328AE" w:rsidP="004C0514">
      <w:pPr>
        <w:spacing w:after="0" w:line="240" w:lineRule="auto"/>
        <w:rPr>
          <w:rFonts w:ascii="Arial" w:eastAsiaTheme="minorEastAsia" w:hAnsi="Arial" w:cs="Arial"/>
          <w:sz w:val="24"/>
          <w:szCs w:val="24"/>
        </w:rPr>
      </w:pPr>
      <w:r w:rsidRPr="0084402E">
        <w:rPr>
          <w:rFonts w:ascii="Arial" w:eastAsiaTheme="minorEastAsia" w:hAnsi="Arial" w:cs="Arial"/>
          <w:sz w:val="24"/>
          <w:szCs w:val="24"/>
        </w:rPr>
        <w:br w:type="page"/>
      </w:r>
    </w:p>
    <w:tbl>
      <w:tblPr>
        <w:tblW w:w="0" w:type="auto"/>
        <w:jc w:val="center"/>
        <w:tblBorders>
          <w:top w:val="single" w:sz="4" w:space="0" w:color="auto"/>
          <w:left w:val="single" w:sz="8" w:space="0" w:color="auto"/>
          <w:bottom w:val="single" w:sz="8" w:space="0" w:color="auto"/>
          <w:right w:val="single" w:sz="8" w:space="0" w:color="auto"/>
          <w:insideH w:val="single" w:sz="8" w:space="0" w:color="auto"/>
        </w:tblBorders>
        <w:tblCellMar>
          <w:left w:w="70" w:type="dxa"/>
          <w:right w:w="70" w:type="dxa"/>
        </w:tblCellMar>
        <w:tblLook w:val="04A0" w:firstRow="1" w:lastRow="0" w:firstColumn="1" w:lastColumn="0" w:noHBand="0" w:noVBand="1"/>
      </w:tblPr>
      <w:tblGrid>
        <w:gridCol w:w="4131"/>
        <w:gridCol w:w="5868"/>
      </w:tblGrid>
      <w:tr w:rsidR="00A328AE" w:rsidRPr="0084402E" w14:paraId="15FCFFBD" w14:textId="77777777" w:rsidTr="006D7BB6">
        <w:trPr>
          <w:trHeight w:val="570"/>
          <w:jc w:val="center"/>
        </w:trPr>
        <w:tc>
          <w:tcPr>
            <w:tcW w:w="0" w:type="auto"/>
            <w:gridSpan w:val="2"/>
            <w:tcBorders>
              <w:bottom w:val="single" w:sz="8" w:space="0" w:color="auto"/>
            </w:tcBorders>
            <w:shd w:val="clear" w:color="auto" w:fill="92D050"/>
            <w:noWrap/>
            <w:vAlign w:val="center"/>
            <w:hideMark/>
          </w:tcPr>
          <w:p w14:paraId="21780FA5" w14:textId="77777777" w:rsidR="00A328AE" w:rsidRPr="0084402E" w:rsidRDefault="00A328AE" w:rsidP="004C0514">
            <w:pPr>
              <w:spacing w:after="0" w:line="240" w:lineRule="auto"/>
              <w:jc w:val="center"/>
              <w:rPr>
                <w:rFonts w:ascii="Arial" w:eastAsia="Times New Roman" w:hAnsi="Arial" w:cs="Arial"/>
                <w:b/>
                <w:sz w:val="24"/>
                <w:szCs w:val="24"/>
                <w:lang w:eastAsia="es-MX"/>
              </w:rPr>
            </w:pPr>
            <w:r w:rsidRPr="0084402E">
              <w:rPr>
                <w:rFonts w:ascii="Arial" w:eastAsia="Times New Roman" w:hAnsi="Arial" w:cs="Arial"/>
                <w:b/>
                <w:sz w:val="24"/>
                <w:szCs w:val="24"/>
                <w:lang w:eastAsia="es-MX"/>
              </w:rPr>
              <w:lastRenderedPageBreak/>
              <w:t>Anexo IV: Datos de la Instancia Evaluadora</w:t>
            </w:r>
          </w:p>
        </w:tc>
      </w:tr>
      <w:tr w:rsidR="00A328AE" w:rsidRPr="0084402E" w14:paraId="323D2A73" w14:textId="77777777" w:rsidTr="006D7BB6">
        <w:trPr>
          <w:trHeight w:val="810"/>
          <w:jc w:val="center"/>
        </w:trPr>
        <w:tc>
          <w:tcPr>
            <w:tcW w:w="0" w:type="auto"/>
            <w:tcBorders>
              <w:top w:val="single" w:sz="8" w:space="0" w:color="auto"/>
              <w:bottom w:val="dotted" w:sz="4" w:space="0" w:color="auto"/>
              <w:right w:val="dotted" w:sz="4" w:space="0" w:color="auto"/>
            </w:tcBorders>
            <w:shd w:val="clear" w:color="auto" w:fill="auto"/>
            <w:noWrap/>
            <w:vAlign w:val="center"/>
            <w:hideMark/>
          </w:tcPr>
          <w:p w14:paraId="25EBC47D" w14:textId="77777777" w:rsidR="00A328AE" w:rsidRPr="0084402E" w:rsidRDefault="00A328AE" w:rsidP="004C0514">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Nombre del coordinador de la evaluación</w:t>
            </w:r>
          </w:p>
        </w:tc>
        <w:tc>
          <w:tcPr>
            <w:tcW w:w="0" w:type="auto"/>
            <w:tcBorders>
              <w:top w:val="single" w:sz="8" w:space="0" w:color="auto"/>
              <w:left w:val="dotted" w:sz="4" w:space="0" w:color="auto"/>
              <w:bottom w:val="dotted" w:sz="4" w:space="0" w:color="auto"/>
            </w:tcBorders>
            <w:shd w:val="clear" w:color="auto" w:fill="auto"/>
            <w:noWrap/>
            <w:vAlign w:val="center"/>
            <w:hideMark/>
          </w:tcPr>
          <w:p w14:paraId="60DDA62E" w14:textId="77777777" w:rsidR="00A328AE" w:rsidRPr="0084402E" w:rsidRDefault="00A328AE" w:rsidP="004C0514">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Mtro. José de Jesús Guizar Jiménez</w:t>
            </w:r>
          </w:p>
        </w:tc>
      </w:tr>
      <w:tr w:rsidR="00A328AE" w:rsidRPr="0084402E" w14:paraId="1B54A343" w14:textId="77777777" w:rsidTr="00315EF2">
        <w:trPr>
          <w:trHeight w:val="961"/>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6F923B4A" w14:textId="77777777" w:rsidR="00A328AE" w:rsidRPr="0084402E" w:rsidRDefault="00A328AE" w:rsidP="004C0514">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Cargo</w:t>
            </w:r>
          </w:p>
        </w:tc>
        <w:tc>
          <w:tcPr>
            <w:tcW w:w="0" w:type="auto"/>
            <w:tcBorders>
              <w:top w:val="dotted" w:sz="4" w:space="0" w:color="auto"/>
              <w:left w:val="dotted" w:sz="4" w:space="0" w:color="auto"/>
              <w:bottom w:val="dotted" w:sz="4" w:space="0" w:color="auto"/>
            </w:tcBorders>
            <w:shd w:val="clear" w:color="auto" w:fill="auto"/>
            <w:noWrap/>
            <w:vAlign w:val="center"/>
            <w:hideMark/>
          </w:tcPr>
          <w:p w14:paraId="57F98AF4" w14:textId="77777777" w:rsidR="00A328AE" w:rsidRPr="0084402E" w:rsidRDefault="00A328AE" w:rsidP="004C0514">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Consultor Investigador</w:t>
            </w:r>
          </w:p>
        </w:tc>
      </w:tr>
      <w:tr w:rsidR="00A328AE" w:rsidRPr="0084402E" w14:paraId="64944FA4" w14:textId="77777777" w:rsidTr="006D7BB6">
        <w:trPr>
          <w:trHeight w:val="810"/>
          <w:jc w:val="center"/>
        </w:trPr>
        <w:tc>
          <w:tcPr>
            <w:tcW w:w="0" w:type="auto"/>
            <w:vMerge w:val="restart"/>
            <w:tcBorders>
              <w:top w:val="dotted" w:sz="4" w:space="0" w:color="auto"/>
              <w:bottom w:val="dotted" w:sz="4" w:space="0" w:color="auto"/>
              <w:right w:val="dotted" w:sz="4" w:space="0" w:color="auto"/>
            </w:tcBorders>
            <w:shd w:val="clear" w:color="auto" w:fill="auto"/>
            <w:vAlign w:val="center"/>
            <w:hideMark/>
          </w:tcPr>
          <w:p w14:paraId="1907F50B" w14:textId="77777777" w:rsidR="00A328AE" w:rsidRPr="0084402E" w:rsidRDefault="00A328AE" w:rsidP="004C0514">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Institución a la que pertenece</w:t>
            </w:r>
          </w:p>
        </w:tc>
        <w:tc>
          <w:tcPr>
            <w:tcW w:w="0" w:type="auto"/>
            <w:tcBorders>
              <w:top w:val="dotted" w:sz="4" w:space="0" w:color="auto"/>
              <w:left w:val="dotted" w:sz="4" w:space="0" w:color="auto"/>
              <w:bottom w:val="nil"/>
            </w:tcBorders>
            <w:shd w:val="clear" w:color="auto" w:fill="auto"/>
            <w:noWrap/>
            <w:vAlign w:val="center"/>
            <w:hideMark/>
          </w:tcPr>
          <w:p w14:paraId="61506735" w14:textId="77777777" w:rsidR="00A328AE" w:rsidRPr="0084402E" w:rsidRDefault="00A328AE" w:rsidP="004C0514">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Instituto para el Desarrollo Técnico de las Haciendas Públicas (INDETEC)</w:t>
            </w:r>
          </w:p>
        </w:tc>
      </w:tr>
      <w:tr w:rsidR="00A328AE" w:rsidRPr="0084402E" w14:paraId="31C3DF37" w14:textId="77777777" w:rsidTr="006D7BB6">
        <w:trPr>
          <w:trHeight w:val="870"/>
          <w:jc w:val="center"/>
        </w:trPr>
        <w:tc>
          <w:tcPr>
            <w:tcW w:w="0" w:type="auto"/>
            <w:vMerge/>
            <w:tcBorders>
              <w:top w:val="dotted" w:sz="4" w:space="0" w:color="auto"/>
              <w:bottom w:val="dotted" w:sz="4" w:space="0" w:color="auto"/>
              <w:right w:val="dotted" w:sz="4" w:space="0" w:color="auto"/>
            </w:tcBorders>
            <w:vAlign w:val="center"/>
            <w:hideMark/>
          </w:tcPr>
          <w:p w14:paraId="28C03C4B" w14:textId="77777777" w:rsidR="00A328AE" w:rsidRPr="0084402E" w:rsidRDefault="00A328AE" w:rsidP="004C0514">
            <w:pPr>
              <w:spacing w:after="0" w:line="240" w:lineRule="auto"/>
              <w:rPr>
                <w:rFonts w:ascii="Arial" w:eastAsia="Times New Roman" w:hAnsi="Arial" w:cs="Arial"/>
                <w:color w:val="000000"/>
                <w:sz w:val="24"/>
                <w:szCs w:val="24"/>
                <w:lang w:eastAsia="es-MX"/>
              </w:rPr>
            </w:pPr>
          </w:p>
        </w:tc>
        <w:tc>
          <w:tcPr>
            <w:tcW w:w="0" w:type="auto"/>
            <w:tcBorders>
              <w:top w:val="nil"/>
              <w:left w:val="dotted" w:sz="4" w:space="0" w:color="auto"/>
              <w:bottom w:val="dotted" w:sz="4" w:space="0" w:color="auto"/>
            </w:tcBorders>
            <w:shd w:val="clear" w:color="auto" w:fill="auto"/>
            <w:noWrap/>
            <w:vAlign w:val="center"/>
            <w:hideMark/>
          </w:tcPr>
          <w:p w14:paraId="71D5CA6E" w14:textId="78811FA7" w:rsidR="00A328AE" w:rsidRPr="0084402E" w:rsidRDefault="00A328AE" w:rsidP="004C0514">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Lerdo de Tejada</w:t>
            </w:r>
            <w:r w:rsidR="00B04E42" w:rsidRPr="0084402E">
              <w:rPr>
                <w:rFonts w:ascii="Arial" w:eastAsia="Times New Roman" w:hAnsi="Arial" w:cs="Arial"/>
                <w:color w:val="000000"/>
                <w:sz w:val="24"/>
                <w:szCs w:val="24"/>
                <w:lang w:eastAsia="es-MX"/>
              </w:rPr>
              <w:t xml:space="preserve"> </w:t>
            </w:r>
            <w:r w:rsidRPr="0084402E">
              <w:rPr>
                <w:rFonts w:ascii="Arial" w:eastAsia="Times New Roman" w:hAnsi="Arial" w:cs="Arial"/>
                <w:color w:val="000000"/>
                <w:sz w:val="24"/>
                <w:szCs w:val="24"/>
                <w:lang w:eastAsia="es-MX"/>
              </w:rPr>
              <w:t>2469 Col. Arcos Sur C.P. 44500 Guadalajara, Jalisco.</w:t>
            </w:r>
          </w:p>
        </w:tc>
      </w:tr>
      <w:tr w:rsidR="00A328AE" w:rsidRPr="0084402E" w14:paraId="05A22F27" w14:textId="77777777" w:rsidTr="006D7BB6">
        <w:trPr>
          <w:trHeight w:val="76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42570132" w14:textId="77777777" w:rsidR="00A328AE" w:rsidRPr="0084402E" w:rsidRDefault="00A328AE" w:rsidP="004C0514">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Principales colaboradores</w:t>
            </w:r>
          </w:p>
        </w:tc>
        <w:tc>
          <w:tcPr>
            <w:tcW w:w="0" w:type="auto"/>
            <w:tcBorders>
              <w:top w:val="dotted" w:sz="4" w:space="0" w:color="auto"/>
              <w:left w:val="dotted" w:sz="4" w:space="0" w:color="auto"/>
              <w:bottom w:val="dotted" w:sz="4" w:space="0" w:color="auto"/>
            </w:tcBorders>
            <w:shd w:val="clear" w:color="auto" w:fill="auto"/>
            <w:noWrap/>
            <w:vAlign w:val="center"/>
            <w:hideMark/>
          </w:tcPr>
          <w:p w14:paraId="1ED5A831" w14:textId="77777777" w:rsidR="00A328AE" w:rsidRPr="0084402E" w:rsidRDefault="00A005C3" w:rsidP="004C0514">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Lic. Rebeca Elizalde Hernández</w:t>
            </w:r>
          </w:p>
        </w:tc>
      </w:tr>
      <w:tr w:rsidR="00A328AE" w:rsidRPr="0084402E" w14:paraId="13D09F6B" w14:textId="77777777" w:rsidTr="006D7BB6">
        <w:trPr>
          <w:trHeight w:val="70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39F7AC5B" w14:textId="77777777" w:rsidR="00A328AE" w:rsidRPr="0084402E" w:rsidRDefault="00A328AE" w:rsidP="004C0514">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Correo electrónico del coordinador de la evaluación</w:t>
            </w:r>
          </w:p>
        </w:tc>
        <w:tc>
          <w:tcPr>
            <w:tcW w:w="0" w:type="auto"/>
            <w:tcBorders>
              <w:top w:val="dotted" w:sz="4" w:space="0" w:color="auto"/>
              <w:left w:val="dotted" w:sz="4" w:space="0" w:color="auto"/>
              <w:bottom w:val="dotted" w:sz="4" w:space="0" w:color="auto"/>
            </w:tcBorders>
            <w:shd w:val="clear" w:color="auto" w:fill="auto"/>
            <w:noWrap/>
            <w:vAlign w:val="center"/>
            <w:hideMark/>
          </w:tcPr>
          <w:p w14:paraId="6D9BF9F2" w14:textId="77777777" w:rsidR="00A328AE" w:rsidRPr="0084402E" w:rsidRDefault="00A328AE" w:rsidP="004C0514">
            <w:pPr>
              <w:spacing w:after="0" w:line="240" w:lineRule="auto"/>
              <w:jc w:val="center"/>
              <w:rPr>
                <w:rFonts w:ascii="Arial" w:eastAsia="Times New Roman" w:hAnsi="Arial" w:cs="Arial"/>
                <w:color w:val="0000FF"/>
                <w:sz w:val="24"/>
                <w:szCs w:val="24"/>
                <w:u w:val="single"/>
                <w:lang w:eastAsia="es-MX"/>
              </w:rPr>
            </w:pPr>
            <w:r w:rsidRPr="0084402E">
              <w:rPr>
                <w:rFonts w:ascii="Arial" w:eastAsia="Times New Roman" w:hAnsi="Arial" w:cs="Arial"/>
                <w:color w:val="0000FF"/>
                <w:sz w:val="24"/>
                <w:szCs w:val="24"/>
                <w:u w:val="single"/>
                <w:lang w:eastAsia="es-MX"/>
              </w:rPr>
              <w:t>jguizarj@indetec.gob.mx</w:t>
            </w:r>
          </w:p>
        </w:tc>
      </w:tr>
      <w:tr w:rsidR="00A328AE" w:rsidRPr="0084402E" w14:paraId="5A5AD3A3" w14:textId="77777777" w:rsidTr="008B7E1E">
        <w:trPr>
          <w:trHeight w:val="58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458091EE" w14:textId="77777777" w:rsidR="00A328AE" w:rsidRPr="0084402E" w:rsidRDefault="00A328AE" w:rsidP="004C0514">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Teléfono</w:t>
            </w:r>
          </w:p>
        </w:tc>
        <w:tc>
          <w:tcPr>
            <w:tcW w:w="0" w:type="auto"/>
            <w:tcBorders>
              <w:top w:val="dotted" w:sz="4" w:space="0" w:color="auto"/>
              <w:left w:val="dotted" w:sz="4" w:space="0" w:color="auto"/>
              <w:bottom w:val="dotted" w:sz="4" w:space="0" w:color="auto"/>
            </w:tcBorders>
            <w:shd w:val="clear" w:color="auto" w:fill="auto"/>
            <w:noWrap/>
            <w:vAlign w:val="center"/>
            <w:hideMark/>
          </w:tcPr>
          <w:p w14:paraId="706B2AEE" w14:textId="77777777" w:rsidR="00A328AE" w:rsidRPr="0084402E" w:rsidRDefault="00A328AE" w:rsidP="004C0514">
            <w:pPr>
              <w:spacing w:after="0" w:line="240" w:lineRule="auto"/>
              <w:jc w:val="center"/>
              <w:rPr>
                <w:rFonts w:ascii="Arial" w:eastAsia="Times New Roman" w:hAnsi="Arial" w:cs="Arial"/>
                <w:color w:val="000000"/>
                <w:sz w:val="24"/>
                <w:szCs w:val="24"/>
                <w:lang w:eastAsia="es-MX"/>
              </w:rPr>
            </w:pPr>
            <w:r w:rsidRPr="0084402E">
              <w:rPr>
                <w:rFonts w:ascii="Arial" w:eastAsia="Times New Roman" w:hAnsi="Arial" w:cs="Arial"/>
                <w:color w:val="000000"/>
                <w:sz w:val="24"/>
                <w:szCs w:val="24"/>
                <w:lang w:eastAsia="es-MX"/>
              </w:rPr>
              <w:t>(33) 36695550 Ext. 136</w:t>
            </w:r>
          </w:p>
        </w:tc>
      </w:tr>
      <w:tr w:rsidR="008B7E1E" w:rsidRPr="0084402E" w14:paraId="2C28B4FE" w14:textId="77777777" w:rsidTr="006D7BB6">
        <w:trPr>
          <w:trHeight w:val="585"/>
          <w:jc w:val="center"/>
        </w:trPr>
        <w:tc>
          <w:tcPr>
            <w:tcW w:w="0" w:type="auto"/>
            <w:tcBorders>
              <w:top w:val="dotted" w:sz="4" w:space="0" w:color="auto"/>
              <w:right w:val="dotted" w:sz="4" w:space="0" w:color="auto"/>
            </w:tcBorders>
            <w:shd w:val="clear" w:color="auto" w:fill="auto"/>
            <w:noWrap/>
            <w:vAlign w:val="center"/>
          </w:tcPr>
          <w:p w14:paraId="0C1544C5" w14:textId="09B44AA6" w:rsidR="008B7E1E" w:rsidRPr="0084402E" w:rsidRDefault="008B7E1E" w:rsidP="004C0514">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Costo de la Evaluación</w:t>
            </w:r>
          </w:p>
        </w:tc>
        <w:tc>
          <w:tcPr>
            <w:tcW w:w="0" w:type="auto"/>
            <w:tcBorders>
              <w:top w:val="dotted" w:sz="4" w:space="0" w:color="auto"/>
              <w:left w:val="dotted" w:sz="4" w:space="0" w:color="auto"/>
            </w:tcBorders>
            <w:shd w:val="clear" w:color="auto" w:fill="auto"/>
            <w:noWrap/>
            <w:vAlign w:val="center"/>
          </w:tcPr>
          <w:p w14:paraId="26FBFD14" w14:textId="64A06A2A" w:rsidR="008B7E1E" w:rsidRPr="0084402E" w:rsidRDefault="008B7E1E" w:rsidP="004C0514">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$75,000.00</w:t>
            </w:r>
          </w:p>
        </w:tc>
      </w:tr>
    </w:tbl>
    <w:p w14:paraId="6975F2B2" w14:textId="77777777" w:rsidR="00A328AE" w:rsidRPr="0084402E" w:rsidRDefault="00A328AE" w:rsidP="004C0514">
      <w:pPr>
        <w:spacing w:after="0" w:line="360" w:lineRule="auto"/>
        <w:jc w:val="both"/>
        <w:rPr>
          <w:rFonts w:ascii="Arial" w:eastAsiaTheme="minorEastAsia" w:hAnsi="Arial" w:cs="Arial"/>
          <w:sz w:val="24"/>
          <w:szCs w:val="24"/>
        </w:rPr>
      </w:pPr>
    </w:p>
    <w:sectPr w:rsidR="00A328AE" w:rsidRPr="0084402E" w:rsidSect="00AF62EB">
      <w:headerReference w:type="default" r:id="rId29"/>
      <w:footerReference w:type="even" r:id="rId30"/>
      <w:footerReference w:type="default" r:id="rId31"/>
      <w:pgSz w:w="12240" w:h="15840"/>
      <w:pgMar w:top="1418" w:right="1134" w:bottom="1134" w:left="1247"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DA8BC" w14:textId="77777777" w:rsidR="002A7AE0" w:rsidRDefault="002A7AE0" w:rsidP="00BA07CF">
      <w:pPr>
        <w:spacing w:after="0" w:line="240" w:lineRule="auto"/>
      </w:pPr>
      <w:r>
        <w:separator/>
      </w:r>
    </w:p>
  </w:endnote>
  <w:endnote w:type="continuationSeparator" w:id="0">
    <w:p w14:paraId="694E1194" w14:textId="77777777" w:rsidR="002A7AE0" w:rsidRDefault="002A7AE0" w:rsidP="00BA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entonSans Book">
    <w:altName w:val="Arial"/>
    <w:panose1 w:val="00000000000000000000"/>
    <w:charset w:val="00"/>
    <w:family w:val="modern"/>
    <w:notTrueType/>
    <w:pitch w:val="variable"/>
    <w:sig w:usb0="800000AF" w:usb1="5000204A" w:usb2="00000000" w:usb3="00000000" w:csb0="0000011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Batang">
    <w:panose1 w:val="02030600000101010101"/>
    <w:charset w:val="81"/>
    <w:family w:val="auto"/>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A41DF" w14:textId="77777777" w:rsidR="001549BC" w:rsidRDefault="001549BC" w:rsidP="00A507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DE5AD" w14:textId="77777777" w:rsidR="001549BC" w:rsidRDefault="001549BC" w:rsidP="00BA07C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5EB75" w14:textId="77777777" w:rsidR="001549BC" w:rsidRDefault="001549BC" w:rsidP="00A507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7BA2">
      <w:rPr>
        <w:rStyle w:val="Nmerodepgina"/>
        <w:noProof/>
      </w:rPr>
      <w:t>1</w:t>
    </w:r>
    <w:r>
      <w:rPr>
        <w:rStyle w:val="Nmerodepgina"/>
      </w:rPr>
      <w:fldChar w:fldCharType="end"/>
    </w:r>
  </w:p>
  <w:p w14:paraId="7696EF32" w14:textId="77777777" w:rsidR="001549BC" w:rsidRDefault="001549BC" w:rsidP="00BA07CF">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F82AC" w14:textId="77777777" w:rsidR="002A7AE0" w:rsidRDefault="002A7AE0" w:rsidP="00BA07CF">
      <w:pPr>
        <w:spacing w:after="0" w:line="240" w:lineRule="auto"/>
      </w:pPr>
      <w:r>
        <w:separator/>
      </w:r>
    </w:p>
  </w:footnote>
  <w:footnote w:type="continuationSeparator" w:id="0">
    <w:p w14:paraId="3FD91150" w14:textId="77777777" w:rsidR="002A7AE0" w:rsidRDefault="002A7AE0" w:rsidP="00BA07CF">
      <w:pPr>
        <w:spacing w:after="0" w:line="240" w:lineRule="auto"/>
      </w:pPr>
      <w:r>
        <w:continuationSeparator/>
      </w:r>
    </w:p>
  </w:footnote>
  <w:footnote w:id="1">
    <w:p w14:paraId="12EC99A1" w14:textId="77777777" w:rsidR="001549BC" w:rsidRDefault="001549BC">
      <w:pPr>
        <w:pStyle w:val="Textonotapie"/>
      </w:pPr>
      <w:r>
        <w:rPr>
          <w:rStyle w:val="Refdenotaalpie"/>
        </w:rPr>
        <w:footnoteRef/>
      </w:r>
      <w:r>
        <w:t xml:space="preserve"> De acuerdo con el Presupuesto de Egresos de la Federación para el Ejercicio Fiscal 2014.</w:t>
      </w:r>
    </w:p>
  </w:footnote>
  <w:footnote w:id="2">
    <w:p w14:paraId="19CE661F" w14:textId="77777777" w:rsidR="001549BC" w:rsidRDefault="001549BC">
      <w:pPr>
        <w:pStyle w:val="Textonotapie"/>
      </w:pPr>
      <w:r>
        <w:rPr>
          <w:rStyle w:val="Refdenotaalpie"/>
        </w:rPr>
        <w:footnoteRef/>
      </w:r>
      <w:r>
        <w:t xml:space="preserve"> Realizadas con base en la Metodología para el cálculo de la estimación del rezago educativo anual del INEA: </w:t>
      </w:r>
      <w:hyperlink r:id="rId1" w:history="1">
        <w:r w:rsidRPr="008465F9">
          <w:rPr>
            <w:rStyle w:val="Hipervnculo"/>
          </w:rPr>
          <w:t>http://www.inea.gob.mx/transparencia/pdf/Metodologia_rezago_educativo_act_2015.pdf</w:t>
        </w:r>
      </w:hyperlink>
      <w:r>
        <w:t xml:space="preserve"> </w:t>
      </w:r>
    </w:p>
  </w:footnote>
  <w:footnote w:id="3">
    <w:p w14:paraId="1E306252" w14:textId="77777777" w:rsidR="001549BC" w:rsidRDefault="001549BC">
      <w:pPr>
        <w:pStyle w:val="Textonotapie"/>
      </w:pPr>
      <w:r>
        <w:rPr>
          <w:rStyle w:val="Refdenotaalpie"/>
        </w:rPr>
        <w:footnoteRef/>
      </w:r>
      <w:r>
        <w:t xml:space="preserve"> </w:t>
      </w:r>
      <w:hyperlink r:id="rId2" w:history="1">
        <w:r w:rsidRPr="00B9457E">
          <w:rPr>
            <w:rStyle w:val="Hipervnculo"/>
          </w:rPr>
          <w:t>http://www.yucatan.gob.mx/docs/orden_juridico/Yucatan/Decretos/nr265rf1.pdf</w:t>
        </w:r>
      </w:hyperlink>
      <w:r>
        <w:t xml:space="preserve"> </w:t>
      </w:r>
    </w:p>
  </w:footnote>
  <w:footnote w:id="4">
    <w:p w14:paraId="413899F6" w14:textId="77777777" w:rsidR="001549BC" w:rsidRDefault="001549BC">
      <w:pPr>
        <w:pStyle w:val="Textonotapie"/>
      </w:pPr>
      <w:r>
        <w:rPr>
          <w:rStyle w:val="Refdenotaalpie"/>
        </w:rPr>
        <w:footnoteRef/>
      </w:r>
      <w:r>
        <w:t xml:space="preserve"> De acuerdo con el Informe de la Situación Económica, de las Finanzas Públicas y la Deuda Pública al IV trimestre de 2014 de la Secretaría de la Hacienda y Crédito Público. </w:t>
      </w:r>
    </w:p>
  </w:footnote>
  <w:footnote w:id="5">
    <w:p w14:paraId="337758B8" w14:textId="77777777" w:rsidR="001549BC" w:rsidRDefault="001549BC" w:rsidP="009229DF">
      <w:pPr>
        <w:pStyle w:val="Textonotapie"/>
      </w:pPr>
      <w:r>
        <w:rPr>
          <w:rStyle w:val="Refdenotaalpie"/>
        </w:rPr>
        <w:footnoteRef/>
      </w:r>
      <w:r>
        <w:t xml:space="preserve"> Se considera como presupuesto del programa el presupuesto del IEAEY, que corresponde, de acuerdo con los Programas Operativos Anuales presentados, que corresponden a la actividad programática “Atención a la población Adulta y Joven de 15 años en adelante a través del IEAEY” y del “presupuesto institucional de servicios personales” ambos correspondientes al programa presupuestario “Rezago Educativo” y  el  POA “Gastos administrativos” correspondiente al Programa Institucional “Gestión del Sistema Educativo”.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FFED8" w14:textId="2EA8701B" w:rsidR="001549BC" w:rsidRPr="00315EF2" w:rsidRDefault="001549BC" w:rsidP="00770392">
    <w:pPr>
      <w:pStyle w:val="Sinespaciado"/>
      <w:spacing w:line="240" w:lineRule="auto"/>
      <w:ind w:left="2127" w:right="2488"/>
      <w:jc w:val="center"/>
      <w:rPr>
        <w:rFonts w:ascii="Arial" w:hAnsi="Arial" w:cs="Arial"/>
        <w:b/>
        <w:bCs/>
      </w:rPr>
    </w:pPr>
    <w:r w:rsidRPr="00315EF2">
      <w:rPr>
        <w:rFonts w:ascii="Arial" w:hAnsi="Arial" w:cs="Arial"/>
        <w:b/>
        <w:bCs/>
        <w:noProof/>
        <w:lang w:val="es-ES_tradnl" w:eastAsia="es-ES_tradnl"/>
      </w:rPr>
      <mc:AlternateContent>
        <mc:Choice Requires="wps">
          <w:drawing>
            <wp:anchor distT="0" distB="0" distL="114300" distR="114300" simplePos="0" relativeHeight="251661312" behindDoc="0" locked="0" layoutInCell="1" allowOverlap="1" wp14:anchorId="3A6CC82D" wp14:editId="7A482775">
              <wp:simplePos x="0" y="0"/>
              <wp:positionH relativeFrom="column">
                <wp:posOffset>4609465</wp:posOffset>
              </wp:positionH>
              <wp:positionV relativeFrom="paragraph">
                <wp:posOffset>-100965</wp:posOffset>
              </wp:positionV>
              <wp:extent cx="1680210" cy="724535"/>
              <wp:effectExtent l="3810" t="6350" r="50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CF93D" w14:textId="77777777" w:rsidR="001549BC" w:rsidRDefault="001549BC">
                          <w:pPr>
                            <w:rPr>
                              <w:lang w:val="es-ES"/>
                            </w:rPr>
                          </w:pPr>
                          <w:r>
                            <w:rPr>
                              <w:noProof/>
                              <w:lang w:val="es-ES_tradnl" w:eastAsia="es-ES_tradnl"/>
                            </w:rPr>
                            <w:drawing>
                              <wp:inline distT="0" distB="0" distL="0" distR="0" wp14:anchorId="176924C5" wp14:editId="37B44EC4">
                                <wp:extent cx="1480140" cy="616871"/>
                                <wp:effectExtent l="19050" t="0" r="5760" b="0"/>
                                <wp:docPr id="28" name="17 Imagen" descr="indetec_2025x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tec_2025x844.gif"/>
                                        <pic:cNvPicPr/>
                                      </pic:nvPicPr>
                                      <pic:blipFill>
                                        <a:blip r:embed="rId1"/>
                                        <a:stretch>
                                          <a:fillRect/>
                                        </a:stretch>
                                      </pic:blipFill>
                                      <pic:spPr>
                                        <a:xfrm>
                                          <a:off x="0" y="0"/>
                                          <a:ext cx="1498573" cy="62455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CC82D" id="_x0000_t202" coordsize="21600,21600" o:spt="202" path="m,l,21600r21600,l21600,xe">
              <v:stroke joinstyle="miter"/>
              <v:path gradientshapeok="t" o:connecttype="rect"/>
            </v:shapetype>
            <v:shape id="Text Box 1" o:spid="_x0000_s1028" type="#_x0000_t202" style="position:absolute;left:0;text-align:left;margin-left:362.95pt;margin-top:-7.95pt;width:132.3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" stroked="f">
              <v:textbox>
                <w:txbxContent>
                  <w:p w14:paraId="326CF93D" w14:textId="77777777" w:rsidR="0062385F" w:rsidRDefault="0062385F">
                    <w:pPr>
                      <w:rPr>
                        <w:lang w:val="es-ES"/>
                      </w:rPr>
                    </w:pPr>
                    <w:r>
                      <w:rPr>
                        <w:noProof/>
                        <w:lang w:eastAsia="es-MX"/>
                      </w:rPr>
                      <w:drawing>
                        <wp:inline distT="0" distB="0" distL="0" distR="0" wp14:anchorId="176924C5" wp14:editId="37B44EC4">
                          <wp:extent cx="1480140" cy="616871"/>
                          <wp:effectExtent l="19050" t="0" r="5760" b="0"/>
                          <wp:docPr id="18" name="17 Imagen" descr="indetec_2025x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tec_2025x844.gif"/>
                                  <pic:cNvPicPr/>
                                </pic:nvPicPr>
                                <pic:blipFill>
                                  <a:blip r:embed="rId2"/>
                                  <a:stretch>
                                    <a:fillRect/>
                                  </a:stretch>
                                </pic:blipFill>
                                <pic:spPr>
                                  <a:xfrm>
                                    <a:off x="0" y="0"/>
                                    <a:ext cx="1498573" cy="624553"/>
                                  </a:xfrm>
                                  <a:prstGeom prst="rect">
                                    <a:avLst/>
                                  </a:prstGeom>
                                </pic:spPr>
                              </pic:pic>
                            </a:graphicData>
                          </a:graphic>
                        </wp:inline>
                      </w:drawing>
                    </w:r>
                  </w:p>
                </w:txbxContent>
              </v:textbox>
            </v:shape>
          </w:pict>
        </mc:Fallback>
      </mc:AlternateContent>
    </w:r>
    <w:r w:rsidRPr="00315EF2">
      <w:rPr>
        <w:noProof/>
        <w:lang w:val="es-ES_tradnl" w:eastAsia="es-ES_tradnl"/>
      </w:rPr>
      <w:drawing>
        <wp:anchor distT="0" distB="0" distL="114300" distR="114300" simplePos="0" relativeHeight="251659264" behindDoc="0" locked="0" layoutInCell="1" allowOverlap="1" wp14:anchorId="3D1EADCA" wp14:editId="5CFDE2A4">
          <wp:simplePos x="0" y="0"/>
          <wp:positionH relativeFrom="column">
            <wp:posOffset>-172720</wp:posOffset>
          </wp:positionH>
          <wp:positionV relativeFrom="paragraph">
            <wp:posOffset>-374015</wp:posOffset>
          </wp:positionV>
          <wp:extent cx="1562100" cy="1133475"/>
          <wp:effectExtent l="19050" t="0" r="0" b="0"/>
          <wp:wrapSquare wrapText="bothSides"/>
          <wp:docPr id="8"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3"/>
                  <a:srcRect/>
                  <a:stretch>
                    <a:fillRect/>
                  </a:stretch>
                </pic:blipFill>
                <pic:spPr bwMode="auto">
                  <a:xfrm>
                    <a:off x="0" y="0"/>
                    <a:ext cx="1562100" cy="1133475"/>
                  </a:xfrm>
                  <a:prstGeom prst="rect">
                    <a:avLst/>
                  </a:prstGeom>
                  <a:noFill/>
                  <a:ln w="9525">
                    <a:noFill/>
                    <a:miter lim="800000"/>
                    <a:headEnd/>
                    <a:tailEnd/>
                  </a:ln>
                </pic:spPr>
              </pic:pic>
            </a:graphicData>
          </a:graphic>
        </wp:anchor>
      </w:drawing>
    </w:r>
    <w:r w:rsidRPr="00315EF2">
      <w:rPr>
        <w:rFonts w:ascii="Arial" w:hAnsi="Arial" w:cs="Arial"/>
        <w:b/>
        <w:bCs/>
      </w:rPr>
      <w:t>Evaluación Complementaria del Desempeño del Programa Presupuestario “Rezago Educativo” que Ejerce Recursos del Fondo de Aportaciones para la Educación Tecnológica y de Adultos (FAETA) Subfondo: Educación para Adultos</w:t>
    </w:r>
  </w:p>
  <w:p w14:paraId="28B08C9F" w14:textId="77777777" w:rsidR="001549BC" w:rsidRPr="00770392" w:rsidRDefault="001549BC" w:rsidP="00770392">
    <w:pPr>
      <w:pStyle w:val="Sinespaciado"/>
      <w:spacing w:line="240" w:lineRule="auto"/>
      <w:ind w:left="1701" w:right="2629"/>
      <w:jc w:val="center"/>
      <w:rPr>
        <w:rFonts w:ascii="Arial" w:hAnsi="Arial" w:cs="Arial"/>
        <w:b/>
        <w:bCs/>
      </w:rPr>
    </w:pPr>
    <w:r w:rsidRPr="00315EF2">
      <w:rPr>
        <w:rFonts w:ascii="Arial" w:hAnsi="Arial" w:cs="Arial"/>
        <w:b/>
        <w:bCs/>
      </w:rPr>
      <w:t>Ejercicio 2014</w:t>
    </w:r>
  </w:p>
  <w:p w14:paraId="180F75AC" w14:textId="77777777" w:rsidR="001549BC" w:rsidRDefault="001549BC" w:rsidP="00770392">
    <w:pPr>
      <w:pStyle w:val="Encabezado"/>
      <w:tabs>
        <w:tab w:val="clear" w:pos="4252"/>
        <w:tab w:val="clear" w:pos="8504"/>
        <w:tab w:val="left" w:pos="3600"/>
      </w:tabs>
      <w:ind w:left="170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5D93"/>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10500DB7"/>
    <w:multiLevelType w:val="hybridMultilevel"/>
    <w:tmpl w:val="959E6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36778"/>
    <w:multiLevelType w:val="hybridMultilevel"/>
    <w:tmpl w:val="4DA08C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3E6301"/>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
    <w:nsid w:val="1BB11353"/>
    <w:multiLevelType w:val="hybridMultilevel"/>
    <w:tmpl w:val="8DD24B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D120050"/>
    <w:multiLevelType w:val="hybridMultilevel"/>
    <w:tmpl w:val="51604F6C"/>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4F1430"/>
    <w:multiLevelType w:val="hybridMultilevel"/>
    <w:tmpl w:val="5A8E6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BF5996"/>
    <w:multiLevelType w:val="hybridMultilevel"/>
    <w:tmpl w:val="A064C1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787B1F"/>
    <w:multiLevelType w:val="hybridMultilevel"/>
    <w:tmpl w:val="F544F980"/>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2B5236"/>
    <w:multiLevelType w:val="hybridMultilevel"/>
    <w:tmpl w:val="299A4A9C"/>
    <w:lvl w:ilvl="0" w:tplc="9F86424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6D4459"/>
    <w:multiLevelType w:val="hybridMultilevel"/>
    <w:tmpl w:val="B78881DC"/>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B83A9A"/>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nsid w:val="40DA38AD"/>
    <w:multiLevelType w:val="hybridMultilevel"/>
    <w:tmpl w:val="3CE469E0"/>
    <w:lvl w:ilvl="0" w:tplc="04090005">
      <w:start w:val="1"/>
      <w:numFmt w:val="bullet"/>
      <w:lvlText w:val=""/>
      <w:lvlJc w:val="left"/>
      <w:pPr>
        <w:ind w:left="1080" w:hanging="360"/>
      </w:pPr>
      <w:rPr>
        <w:rFonts w:ascii="Wingdings" w:hAnsi="Wingding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40A7A99"/>
    <w:multiLevelType w:val="hybridMultilevel"/>
    <w:tmpl w:val="6278291C"/>
    <w:lvl w:ilvl="0" w:tplc="038A32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8C715F"/>
    <w:multiLevelType w:val="hybridMultilevel"/>
    <w:tmpl w:val="F4AADAE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5646757A"/>
    <w:multiLevelType w:val="hybridMultilevel"/>
    <w:tmpl w:val="3F6A351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
    <w:nsid w:val="58F509B9"/>
    <w:multiLevelType w:val="hybridMultilevel"/>
    <w:tmpl w:val="85DA9DE4"/>
    <w:lvl w:ilvl="0" w:tplc="A0069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624B0F"/>
    <w:multiLevelType w:val="hybridMultilevel"/>
    <w:tmpl w:val="893A0DD4"/>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430499F"/>
    <w:multiLevelType w:val="hybridMultilevel"/>
    <w:tmpl w:val="49AA858A"/>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nsid w:val="66937130"/>
    <w:multiLevelType w:val="hybridMultilevel"/>
    <w:tmpl w:val="0088C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F7A6073"/>
    <w:multiLevelType w:val="hybridMultilevel"/>
    <w:tmpl w:val="F398C8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F3D0AA4"/>
    <w:multiLevelType w:val="hybridMultilevel"/>
    <w:tmpl w:val="2AC2D802"/>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F3F5F8C"/>
    <w:multiLevelType w:val="hybridMultilevel"/>
    <w:tmpl w:val="9C8668F2"/>
    <w:lvl w:ilvl="0" w:tplc="04090005">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0"/>
  </w:num>
  <w:num w:numId="4">
    <w:abstractNumId w:val="22"/>
  </w:num>
  <w:num w:numId="5">
    <w:abstractNumId w:val="12"/>
  </w:num>
  <w:num w:numId="6">
    <w:abstractNumId w:val="17"/>
  </w:num>
  <w:num w:numId="7">
    <w:abstractNumId w:val="21"/>
  </w:num>
  <w:num w:numId="8">
    <w:abstractNumId w:val="10"/>
  </w:num>
  <w:num w:numId="9">
    <w:abstractNumId w:val="8"/>
  </w:num>
  <w:num w:numId="10">
    <w:abstractNumId w:val="5"/>
  </w:num>
  <w:num w:numId="11">
    <w:abstractNumId w:val="4"/>
  </w:num>
  <w:num w:numId="12">
    <w:abstractNumId w:val="2"/>
  </w:num>
  <w:num w:numId="13">
    <w:abstractNumId w:val="20"/>
  </w:num>
  <w:num w:numId="14">
    <w:abstractNumId w:val="6"/>
  </w:num>
  <w:num w:numId="15">
    <w:abstractNumId w:val="14"/>
  </w:num>
  <w:num w:numId="16">
    <w:abstractNumId w:val="15"/>
  </w:num>
  <w:num w:numId="17">
    <w:abstractNumId w:val="3"/>
  </w:num>
  <w:num w:numId="18">
    <w:abstractNumId w:val="11"/>
  </w:num>
  <w:num w:numId="19">
    <w:abstractNumId w:val="19"/>
  </w:num>
  <w:num w:numId="20">
    <w:abstractNumId w:val="16"/>
  </w:num>
  <w:num w:numId="21">
    <w:abstractNumId w:val="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F3"/>
    <w:rsid w:val="000020AA"/>
    <w:rsid w:val="00003622"/>
    <w:rsid w:val="00007BF2"/>
    <w:rsid w:val="000124AB"/>
    <w:rsid w:val="000135DF"/>
    <w:rsid w:val="000136C6"/>
    <w:rsid w:val="00015271"/>
    <w:rsid w:val="000157DC"/>
    <w:rsid w:val="000171AF"/>
    <w:rsid w:val="00020421"/>
    <w:rsid w:val="00020E10"/>
    <w:rsid w:val="00024B6C"/>
    <w:rsid w:val="000253DA"/>
    <w:rsid w:val="000327F9"/>
    <w:rsid w:val="00033885"/>
    <w:rsid w:val="000364DE"/>
    <w:rsid w:val="00042A2A"/>
    <w:rsid w:val="00043A35"/>
    <w:rsid w:val="00051133"/>
    <w:rsid w:val="0005296E"/>
    <w:rsid w:val="00055972"/>
    <w:rsid w:val="00064CB4"/>
    <w:rsid w:val="00064D87"/>
    <w:rsid w:val="000710EC"/>
    <w:rsid w:val="00085443"/>
    <w:rsid w:val="00086A95"/>
    <w:rsid w:val="00092D12"/>
    <w:rsid w:val="00094B45"/>
    <w:rsid w:val="000A1A69"/>
    <w:rsid w:val="000A7CCE"/>
    <w:rsid w:val="000B58B9"/>
    <w:rsid w:val="000B6F3B"/>
    <w:rsid w:val="000C4926"/>
    <w:rsid w:val="000C5C93"/>
    <w:rsid w:val="000D1CA7"/>
    <w:rsid w:val="000D56AA"/>
    <w:rsid w:val="000E0712"/>
    <w:rsid w:val="000E4D9A"/>
    <w:rsid w:val="000E566A"/>
    <w:rsid w:val="000E5C78"/>
    <w:rsid w:val="000E7CA9"/>
    <w:rsid w:val="000F0F80"/>
    <w:rsid w:val="000F2971"/>
    <w:rsid w:val="000F3451"/>
    <w:rsid w:val="000F5D50"/>
    <w:rsid w:val="0010247D"/>
    <w:rsid w:val="00107454"/>
    <w:rsid w:val="001132C2"/>
    <w:rsid w:val="001269CC"/>
    <w:rsid w:val="00131267"/>
    <w:rsid w:val="00131E27"/>
    <w:rsid w:val="00134EDF"/>
    <w:rsid w:val="0014477D"/>
    <w:rsid w:val="00147597"/>
    <w:rsid w:val="00150A9F"/>
    <w:rsid w:val="00150E7B"/>
    <w:rsid w:val="0015449B"/>
    <w:rsid w:val="00154572"/>
    <w:rsid w:val="0015475A"/>
    <w:rsid w:val="001549BC"/>
    <w:rsid w:val="001579FF"/>
    <w:rsid w:val="00160CBD"/>
    <w:rsid w:val="00167AD3"/>
    <w:rsid w:val="00171088"/>
    <w:rsid w:val="001753DE"/>
    <w:rsid w:val="001757B2"/>
    <w:rsid w:val="001807F3"/>
    <w:rsid w:val="00184E13"/>
    <w:rsid w:val="00185E0A"/>
    <w:rsid w:val="00187EF0"/>
    <w:rsid w:val="001916E8"/>
    <w:rsid w:val="00192763"/>
    <w:rsid w:val="00193586"/>
    <w:rsid w:val="00193B81"/>
    <w:rsid w:val="0019626D"/>
    <w:rsid w:val="00197462"/>
    <w:rsid w:val="00197E7F"/>
    <w:rsid w:val="001A0024"/>
    <w:rsid w:val="001A0425"/>
    <w:rsid w:val="001B198C"/>
    <w:rsid w:val="001B1B82"/>
    <w:rsid w:val="001C52AC"/>
    <w:rsid w:val="001D1BAF"/>
    <w:rsid w:val="001D4F27"/>
    <w:rsid w:val="001F2516"/>
    <w:rsid w:val="00200EE8"/>
    <w:rsid w:val="00203AE3"/>
    <w:rsid w:val="00204825"/>
    <w:rsid w:val="00204A4A"/>
    <w:rsid w:val="002070B4"/>
    <w:rsid w:val="00207CD0"/>
    <w:rsid w:val="00216B0B"/>
    <w:rsid w:val="00225805"/>
    <w:rsid w:val="0023159C"/>
    <w:rsid w:val="00231E4F"/>
    <w:rsid w:val="00232A71"/>
    <w:rsid w:val="00233DAD"/>
    <w:rsid w:val="00240FA7"/>
    <w:rsid w:val="00246F50"/>
    <w:rsid w:val="00250968"/>
    <w:rsid w:val="00251C03"/>
    <w:rsid w:val="00256F01"/>
    <w:rsid w:val="00263503"/>
    <w:rsid w:val="00267DC1"/>
    <w:rsid w:val="00271E29"/>
    <w:rsid w:val="0027241B"/>
    <w:rsid w:val="0027352D"/>
    <w:rsid w:val="00277D82"/>
    <w:rsid w:val="00281117"/>
    <w:rsid w:val="0028139E"/>
    <w:rsid w:val="002835DF"/>
    <w:rsid w:val="0029255F"/>
    <w:rsid w:val="0029523E"/>
    <w:rsid w:val="0029651C"/>
    <w:rsid w:val="002A1F05"/>
    <w:rsid w:val="002A4329"/>
    <w:rsid w:val="002A7AE0"/>
    <w:rsid w:val="002B0595"/>
    <w:rsid w:val="002B63D5"/>
    <w:rsid w:val="002B70C1"/>
    <w:rsid w:val="002C05C1"/>
    <w:rsid w:val="002C091B"/>
    <w:rsid w:val="002C1DAA"/>
    <w:rsid w:val="002C242B"/>
    <w:rsid w:val="002C4F50"/>
    <w:rsid w:val="002C58A8"/>
    <w:rsid w:val="002D2AA1"/>
    <w:rsid w:val="002D33F2"/>
    <w:rsid w:val="002D35B5"/>
    <w:rsid w:val="002D40B6"/>
    <w:rsid w:val="002D4695"/>
    <w:rsid w:val="002E0FC0"/>
    <w:rsid w:val="002F1706"/>
    <w:rsid w:val="002F532F"/>
    <w:rsid w:val="0030232C"/>
    <w:rsid w:val="003045F5"/>
    <w:rsid w:val="00307D84"/>
    <w:rsid w:val="00311011"/>
    <w:rsid w:val="00311251"/>
    <w:rsid w:val="00315EF2"/>
    <w:rsid w:val="00322625"/>
    <w:rsid w:val="00325497"/>
    <w:rsid w:val="00332B09"/>
    <w:rsid w:val="0033598E"/>
    <w:rsid w:val="00337E79"/>
    <w:rsid w:val="00355CC5"/>
    <w:rsid w:val="003673E6"/>
    <w:rsid w:val="00374B0F"/>
    <w:rsid w:val="0038427D"/>
    <w:rsid w:val="003863F2"/>
    <w:rsid w:val="00390435"/>
    <w:rsid w:val="003A0431"/>
    <w:rsid w:val="003A1891"/>
    <w:rsid w:val="003A1D09"/>
    <w:rsid w:val="003A3356"/>
    <w:rsid w:val="003A47C0"/>
    <w:rsid w:val="003B0B8B"/>
    <w:rsid w:val="003C43AD"/>
    <w:rsid w:val="003C774A"/>
    <w:rsid w:val="003D13E6"/>
    <w:rsid w:val="003D230A"/>
    <w:rsid w:val="003D5FD1"/>
    <w:rsid w:val="003D7CD5"/>
    <w:rsid w:val="003E4A88"/>
    <w:rsid w:val="003E582F"/>
    <w:rsid w:val="003E5ECD"/>
    <w:rsid w:val="003E6DBF"/>
    <w:rsid w:val="003F006D"/>
    <w:rsid w:val="003F022C"/>
    <w:rsid w:val="003F4926"/>
    <w:rsid w:val="00404579"/>
    <w:rsid w:val="004054E0"/>
    <w:rsid w:val="004063C2"/>
    <w:rsid w:val="0041120E"/>
    <w:rsid w:val="00412140"/>
    <w:rsid w:val="00412BAE"/>
    <w:rsid w:val="00413614"/>
    <w:rsid w:val="004170AE"/>
    <w:rsid w:val="00420829"/>
    <w:rsid w:val="0042101B"/>
    <w:rsid w:val="0042445D"/>
    <w:rsid w:val="0043492F"/>
    <w:rsid w:val="00437620"/>
    <w:rsid w:val="00440FA9"/>
    <w:rsid w:val="00446F48"/>
    <w:rsid w:val="00450E87"/>
    <w:rsid w:val="00465FF8"/>
    <w:rsid w:val="004660DE"/>
    <w:rsid w:val="00474DDD"/>
    <w:rsid w:val="00476696"/>
    <w:rsid w:val="004803BB"/>
    <w:rsid w:val="00483AE8"/>
    <w:rsid w:val="00483F0E"/>
    <w:rsid w:val="004870C7"/>
    <w:rsid w:val="00487182"/>
    <w:rsid w:val="00490B6A"/>
    <w:rsid w:val="00490EBC"/>
    <w:rsid w:val="00491BE1"/>
    <w:rsid w:val="00493643"/>
    <w:rsid w:val="004944E3"/>
    <w:rsid w:val="004A4F9C"/>
    <w:rsid w:val="004B0700"/>
    <w:rsid w:val="004B244B"/>
    <w:rsid w:val="004B2916"/>
    <w:rsid w:val="004B7B84"/>
    <w:rsid w:val="004C0514"/>
    <w:rsid w:val="004C19B9"/>
    <w:rsid w:val="004C33B2"/>
    <w:rsid w:val="004D058F"/>
    <w:rsid w:val="004D0CF6"/>
    <w:rsid w:val="004D6686"/>
    <w:rsid w:val="004D7A34"/>
    <w:rsid w:val="004E16B3"/>
    <w:rsid w:val="004E4D8A"/>
    <w:rsid w:val="004F4ACF"/>
    <w:rsid w:val="004F4B0A"/>
    <w:rsid w:val="00506344"/>
    <w:rsid w:val="00510876"/>
    <w:rsid w:val="0052541E"/>
    <w:rsid w:val="00533315"/>
    <w:rsid w:val="0053526F"/>
    <w:rsid w:val="00544CEA"/>
    <w:rsid w:val="00547C14"/>
    <w:rsid w:val="005507E0"/>
    <w:rsid w:val="00564694"/>
    <w:rsid w:val="00570F4F"/>
    <w:rsid w:val="00575443"/>
    <w:rsid w:val="00576178"/>
    <w:rsid w:val="005766F1"/>
    <w:rsid w:val="005800CC"/>
    <w:rsid w:val="0058444A"/>
    <w:rsid w:val="00587B1C"/>
    <w:rsid w:val="0059083F"/>
    <w:rsid w:val="00595086"/>
    <w:rsid w:val="00595E23"/>
    <w:rsid w:val="005A06CD"/>
    <w:rsid w:val="005A114C"/>
    <w:rsid w:val="005A36AD"/>
    <w:rsid w:val="005A58BF"/>
    <w:rsid w:val="005A6619"/>
    <w:rsid w:val="005B1FA3"/>
    <w:rsid w:val="005B265A"/>
    <w:rsid w:val="005B3771"/>
    <w:rsid w:val="005C3003"/>
    <w:rsid w:val="005D193F"/>
    <w:rsid w:val="005D4C2A"/>
    <w:rsid w:val="005D57EB"/>
    <w:rsid w:val="005D7B8E"/>
    <w:rsid w:val="005E1767"/>
    <w:rsid w:val="005E6BED"/>
    <w:rsid w:val="005F3395"/>
    <w:rsid w:val="005F4653"/>
    <w:rsid w:val="005F4771"/>
    <w:rsid w:val="005F5775"/>
    <w:rsid w:val="005F5C23"/>
    <w:rsid w:val="006013FF"/>
    <w:rsid w:val="00607F06"/>
    <w:rsid w:val="006105A4"/>
    <w:rsid w:val="00612330"/>
    <w:rsid w:val="006145AD"/>
    <w:rsid w:val="0061752C"/>
    <w:rsid w:val="00621E02"/>
    <w:rsid w:val="0062385F"/>
    <w:rsid w:val="00624777"/>
    <w:rsid w:val="00624D44"/>
    <w:rsid w:val="00627A0E"/>
    <w:rsid w:val="0063595F"/>
    <w:rsid w:val="00640225"/>
    <w:rsid w:val="00640418"/>
    <w:rsid w:val="00642DD2"/>
    <w:rsid w:val="00643376"/>
    <w:rsid w:val="006442E5"/>
    <w:rsid w:val="0064683D"/>
    <w:rsid w:val="00650868"/>
    <w:rsid w:val="0065127C"/>
    <w:rsid w:val="0065576A"/>
    <w:rsid w:val="006601ED"/>
    <w:rsid w:val="00660510"/>
    <w:rsid w:val="00660E25"/>
    <w:rsid w:val="00662AA3"/>
    <w:rsid w:val="00665C3F"/>
    <w:rsid w:val="00666190"/>
    <w:rsid w:val="0067062D"/>
    <w:rsid w:val="00681134"/>
    <w:rsid w:val="00681928"/>
    <w:rsid w:val="006854D8"/>
    <w:rsid w:val="006970C0"/>
    <w:rsid w:val="006A6E55"/>
    <w:rsid w:val="006B1299"/>
    <w:rsid w:val="006B1F60"/>
    <w:rsid w:val="006B744E"/>
    <w:rsid w:val="006B7741"/>
    <w:rsid w:val="006C26E0"/>
    <w:rsid w:val="006C468F"/>
    <w:rsid w:val="006C6A80"/>
    <w:rsid w:val="006D0790"/>
    <w:rsid w:val="006D1F13"/>
    <w:rsid w:val="006D1F63"/>
    <w:rsid w:val="006D1F72"/>
    <w:rsid w:val="006D4281"/>
    <w:rsid w:val="006D453F"/>
    <w:rsid w:val="006D7BB6"/>
    <w:rsid w:val="006E2AC8"/>
    <w:rsid w:val="006E2DB6"/>
    <w:rsid w:val="006E35C1"/>
    <w:rsid w:val="006E36B5"/>
    <w:rsid w:val="006E4FEF"/>
    <w:rsid w:val="006E5B1C"/>
    <w:rsid w:val="006E65DD"/>
    <w:rsid w:val="006F3404"/>
    <w:rsid w:val="00703FAB"/>
    <w:rsid w:val="0070793E"/>
    <w:rsid w:val="007109F8"/>
    <w:rsid w:val="00712D3F"/>
    <w:rsid w:val="00714A8D"/>
    <w:rsid w:val="00731DAB"/>
    <w:rsid w:val="00732440"/>
    <w:rsid w:val="007363B3"/>
    <w:rsid w:val="00741D07"/>
    <w:rsid w:val="00746D9E"/>
    <w:rsid w:val="00753C8B"/>
    <w:rsid w:val="0076397F"/>
    <w:rsid w:val="00765309"/>
    <w:rsid w:val="00770392"/>
    <w:rsid w:val="00771006"/>
    <w:rsid w:val="0077294B"/>
    <w:rsid w:val="00773396"/>
    <w:rsid w:val="00776EB2"/>
    <w:rsid w:val="007770FC"/>
    <w:rsid w:val="0077711E"/>
    <w:rsid w:val="00780D56"/>
    <w:rsid w:val="007832B7"/>
    <w:rsid w:val="007842C7"/>
    <w:rsid w:val="007860F6"/>
    <w:rsid w:val="00787BA2"/>
    <w:rsid w:val="007931F9"/>
    <w:rsid w:val="00793700"/>
    <w:rsid w:val="00796B39"/>
    <w:rsid w:val="007A21ED"/>
    <w:rsid w:val="007A4800"/>
    <w:rsid w:val="007B0DE2"/>
    <w:rsid w:val="007B2E94"/>
    <w:rsid w:val="007B2FE0"/>
    <w:rsid w:val="007B4B5C"/>
    <w:rsid w:val="007B5F0E"/>
    <w:rsid w:val="007C0492"/>
    <w:rsid w:val="007C2E30"/>
    <w:rsid w:val="007C7FB1"/>
    <w:rsid w:val="007D13C9"/>
    <w:rsid w:val="007D3CA3"/>
    <w:rsid w:val="007D5573"/>
    <w:rsid w:val="007E2184"/>
    <w:rsid w:val="007E6AFA"/>
    <w:rsid w:val="00806314"/>
    <w:rsid w:val="0081508C"/>
    <w:rsid w:val="00816E56"/>
    <w:rsid w:val="0082026F"/>
    <w:rsid w:val="00827962"/>
    <w:rsid w:val="00831F97"/>
    <w:rsid w:val="00842127"/>
    <w:rsid w:val="0084402E"/>
    <w:rsid w:val="008476B3"/>
    <w:rsid w:val="008555E5"/>
    <w:rsid w:val="00855667"/>
    <w:rsid w:val="00857A9C"/>
    <w:rsid w:val="008627AF"/>
    <w:rsid w:val="00864D3E"/>
    <w:rsid w:val="00872022"/>
    <w:rsid w:val="00872FDE"/>
    <w:rsid w:val="00874BE2"/>
    <w:rsid w:val="0087641C"/>
    <w:rsid w:val="00877380"/>
    <w:rsid w:val="0087779E"/>
    <w:rsid w:val="00881B44"/>
    <w:rsid w:val="00884ACF"/>
    <w:rsid w:val="008866AB"/>
    <w:rsid w:val="00886CDB"/>
    <w:rsid w:val="008872C8"/>
    <w:rsid w:val="008874C1"/>
    <w:rsid w:val="00890196"/>
    <w:rsid w:val="00895D69"/>
    <w:rsid w:val="008A4B13"/>
    <w:rsid w:val="008B2F7C"/>
    <w:rsid w:val="008B6F4D"/>
    <w:rsid w:val="008B7E1E"/>
    <w:rsid w:val="008C5C73"/>
    <w:rsid w:val="008D0154"/>
    <w:rsid w:val="008D3794"/>
    <w:rsid w:val="008E5285"/>
    <w:rsid w:val="008F1673"/>
    <w:rsid w:val="008F6988"/>
    <w:rsid w:val="00901926"/>
    <w:rsid w:val="00903634"/>
    <w:rsid w:val="00907D06"/>
    <w:rsid w:val="00907DEA"/>
    <w:rsid w:val="00911513"/>
    <w:rsid w:val="00915362"/>
    <w:rsid w:val="0091653D"/>
    <w:rsid w:val="00916C5D"/>
    <w:rsid w:val="00917DEF"/>
    <w:rsid w:val="0092088B"/>
    <w:rsid w:val="009229DF"/>
    <w:rsid w:val="00922D73"/>
    <w:rsid w:val="0092328E"/>
    <w:rsid w:val="009236BF"/>
    <w:rsid w:val="0092599D"/>
    <w:rsid w:val="009303A4"/>
    <w:rsid w:val="00931D8C"/>
    <w:rsid w:val="00934175"/>
    <w:rsid w:val="00935DE1"/>
    <w:rsid w:val="009424C1"/>
    <w:rsid w:val="00943F47"/>
    <w:rsid w:val="00944C28"/>
    <w:rsid w:val="0094702A"/>
    <w:rsid w:val="00947B8B"/>
    <w:rsid w:val="00954E85"/>
    <w:rsid w:val="0096437F"/>
    <w:rsid w:val="00970708"/>
    <w:rsid w:val="0097371C"/>
    <w:rsid w:val="00975042"/>
    <w:rsid w:val="00977326"/>
    <w:rsid w:val="00977B0B"/>
    <w:rsid w:val="00980AF4"/>
    <w:rsid w:val="009818F5"/>
    <w:rsid w:val="009840C6"/>
    <w:rsid w:val="00990DFA"/>
    <w:rsid w:val="00992DEB"/>
    <w:rsid w:val="009A33DE"/>
    <w:rsid w:val="009A35E3"/>
    <w:rsid w:val="009B6249"/>
    <w:rsid w:val="009B6648"/>
    <w:rsid w:val="009C3AA6"/>
    <w:rsid w:val="009C5A18"/>
    <w:rsid w:val="009C6A14"/>
    <w:rsid w:val="009D1775"/>
    <w:rsid w:val="009D30F9"/>
    <w:rsid w:val="009E31A9"/>
    <w:rsid w:val="009E49D6"/>
    <w:rsid w:val="009E522D"/>
    <w:rsid w:val="009E52DA"/>
    <w:rsid w:val="009E556E"/>
    <w:rsid w:val="009E66A6"/>
    <w:rsid w:val="009F2275"/>
    <w:rsid w:val="009F3862"/>
    <w:rsid w:val="009F72EA"/>
    <w:rsid w:val="00A005C3"/>
    <w:rsid w:val="00A11CD9"/>
    <w:rsid w:val="00A17F47"/>
    <w:rsid w:val="00A17F48"/>
    <w:rsid w:val="00A2119E"/>
    <w:rsid w:val="00A21513"/>
    <w:rsid w:val="00A2224F"/>
    <w:rsid w:val="00A23228"/>
    <w:rsid w:val="00A2661F"/>
    <w:rsid w:val="00A328AE"/>
    <w:rsid w:val="00A358EB"/>
    <w:rsid w:val="00A41D4E"/>
    <w:rsid w:val="00A43D2E"/>
    <w:rsid w:val="00A507EB"/>
    <w:rsid w:val="00A558A6"/>
    <w:rsid w:val="00A57209"/>
    <w:rsid w:val="00A61E93"/>
    <w:rsid w:val="00A64634"/>
    <w:rsid w:val="00A65947"/>
    <w:rsid w:val="00A6644C"/>
    <w:rsid w:val="00A74362"/>
    <w:rsid w:val="00A833BF"/>
    <w:rsid w:val="00A83C31"/>
    <w:rsid w:val="00A847EF"/>
    <w:rsid w:val="00A91A85"/>
    <w:rsid w:val="00A93A8A"/>
    <w:rsid w:val="00AA18DC"/>
    <w:rsid w:val="00AB0171"/>
    <w:rsid w:val="00AB073F"/>
    <w:rsid w:val="00AB7363"/>
    <w:rsid w:val="00AC0EB2"/>
    <w:rsid w:val="00AC1B38"/>
    <w:rsid w:val="00AC28C6"/>
    <w:rsid w:val="00AC348E"/>
    <w:rsid w:val="00AC4561"/>
    <w:rsid w:val="00AD2DC8"/>
    <w:rsid w:val="00AE45B8"/>
    <w:rsid w:val="00AE4E5F"/>
    <w:rsid w:val="00AE53C6"/>
    <w:rsid w:val="00AF3B28"/>
    <w:rsid w:val="00AF3FF5"/>
    <w:rsid w:val="00AF62EB"/>
    <w:rsid w:val="00AF6786"/>
    <w:rsid w:val="00AF6DEC"/>
    <w:rsid w:val="00AF7CA3"/>
    <w:rsid w:val="00B01E67"/>
    <w:rsid w:val="00B03CB5"/>
    <w:rsid w:val="00B04E42"/>
    <w:rsid w:val="00B06815"/>
    <w:rsid w:val="00B10C97"/>
    <w:rsid w:val="00B10EBD"/>
    <w:rsid w:val="00B115BD"/>
    <w:rsid w:val="00B1299D"/>
    <w:rsid w:val="00B20E68"/>
    <w:rsid w:val="00B41223"/>
    <w:rsid w:val="00B51905"/>
    <w:rsid w:val="00B527FA"/>
    <w:rsid w:val="00B5639B"/>
    <w:rsid w:val="00B62807"/>
    <w:rsid w:val="00B652FF"/>
    <w:rsid w:val="00B65604"/>
    <w:rsid w:val="00B65B7B"/>
    <w:rsid w:val="00B716AF"/>
    <w:rsid w:val="00B7588B"/>
    <w:rsid w:val="00B8113B"/>
    <w:rsid w:val="00B84364"/>
    <w:rsid w:val="00B8613D"/>
    <w:rsid w:val="00B96303"/>
    <w:rsid w:val="00B9774E"/>
    <w:rsid w:val="00B97A0B"/>
    <w:rsid w:val="00BA07CF"/>
    <w:rsid w:val="00BA16B7"/>
    <w:rsid w:val="00BA7818"/>
    <w:rsid w:val="00BB07B8"/>
    <w:rsid w:val="00BB1976"/>
    <w:rsid w:val="00BB255A"/>
    <w:rsid w:val="00BB3E0F"/>
    <w:rsid w:val="00BC3DCB"/>
    <w:rsid w:val="00BD12BA"/>
    <w:rsid w:val="00BD3316"/>
    <w:rsid w:val="00BD3562"/>
    <w:rsid w:val="00BD52F7"/>
    <w:rsid w:val="00BD7014"/>
    <w:rsid w:val="00BD7044"/>
    <w:rsid w:val="00BE0D63"/>
    <w:rsid w:val="00BE3BB2"/>
    <w:rsid w:val="00BF4AE3"/>
    <w:rsid w:val="00BF60BB"/>
    <w:rsid w:val="00BF78D1"/>
    <w:rsid w:val="00C02510"/>
    <w:rsid w:val="00C139CD"/>
    <w:rsid w:val="00C1584F"/>
    <w:rsid w:val="00C2204B"/>
    <w:rsid w:val="00C25BC7"/>
    <w:rsid w:val="00C310B4"/>
    <w:rsid w:val="00C3634C"/>
    <w:rsid w:val="00C43CA7"/>
    <w:rsid w:val="00C47744"/>
    <w:rsid w:val="00C5552A"/>
    <w:rsid w:val="00C61957"/>
    <w:rsid w:val="00C61D37"/>
    <w:rsid w:val="00C62FD6"/>
    <w:rsid w:val="00C671F3"/>
    <w:rsid w:val="00C71B24"/>
    <w:rsid w:val="00C7607B"/>
    <w:rsid w:val="00C76B6D"/>
    <w:rsid w:val="00C82FF4"/>
    <w:rsid w:val="00C8414F"/>
    <w:rsid w:val="00CA2806"/>
    <w:rsid w:val="00CB3395"/>
    <w:rsid w:val="00CB36FB"/>
    <w:rsid w:val="00CB73B0"/>
    <w:rsid w:val="00CC4F94"/>
    <w:rsid w:val="00CC5CC3"/>
    <w:rsid w:val="00CC6342"/>
    <w:rsid w:val="00CD100C"/>
    <w:rsid w:val="00CD7950"/>
    <w:rsid w:val="00CE0A77"/>
    <w:rsid w:val="00CE3AD2"/>
    <w:rsid w:val="00CE73BC"/>
    <w:rsid w:val="00CF23C9"/>
    <w:rsid w:val="00CF2806"/>
    <w:rsid w:val="00CF40D8"/>
    <w:rsid w:val="00CF4FCF"/>
    <w:rsid w:val="00CF545B"/>
    <w:rsid w:val="00D00CB4"/>
    <w:rsid w:val="00D04928"/>
    <w:rsid w:val="00D04D4B"/>
    <w:rsid w:val="00D058F4"/>
    <w:rsid w:val="00D06D36"/>
    <w:rsid w:val="00D1162E"/>
    <w:rsid w:val="00D143C9"/>
    <w:rsid w:val="00D21C11"/>
    <w:rsid w:val="00D309F6"/>
    <w:rsid w:val="00D350B6"/>
    <w:rsid w:val="00D3651F"/>
    <w:rsid w:val="00D36B8D"/>
    <w:rsid w:val="00D41594"/>
    <w:rsid w:val="00D41ED6"/>
    <w:rsid w:val="00D42727"/>
    <w:rsid w:val="00D4362D"/>
    <w:rsid w:val="00D4497E"/>
    <w:rsid w:val="00D51B09"/>
    <w:rsid w:val="00D51D51"/>
    <w:rsid w:val="00D53675"/>
    <w:rsid w:val="00D60B76"/>
    <w:rsid w:val="00D6246C"/>
    <w:rsid w:val="00D633E2"/>
    <w:rsid w:val="00D729FC"/>
    <w:rsid w:val="00D73307"/>
    <w:rsid w:val="00D734BA"/>
    <w:rsid w:val="00D80E30"/>
    <w:rsid w:val="00D81E63"/>
    <w:rsid w:val="00D853EB"/>
    <w:rsid w:val="00D87D6C"/>
    <w:rsid w:val="00D93ECB"/>
    <w:rsid w:val="00D942A6"/>
    <w:rsid w:val="00DA0861"/>
    <w:rsid w:val="00DB4363"/>
    <w:rsid w:val="00DB59FC"/>
    <w:rsid w:val="00DB64D6"/>
    <w:rsid w:val="00DC0A4B"/>
    <w:rsid w:val="00DC1A82"/>
    <w:rsid w:val="00DC4907"/>
    <w:rsid w:val="00DC671D"/>
    <w:rsid w:val="00DC71DC"/>
    <w:rsid w:val="00DD04E2"/>
    <w:rsid w:val="00DE2959"/>
    <w:rsid w:val="00DE5D09"/>
    <w:rsid w:val="00DE5F3B"/>
    <w:rsid w:val="00DE616D"/>
    <w:rsid w:val="00DE68AA"/>
    <w:rsid w:val="00DE6CEE"/>
    <w:rsid w:val="00DF0C78"/>
    <w:rsid w:val="00E00687"/>
    <w:rsid w:val="00E014B5"/>
    <w:rsid w:val="00E02FDA"/>
    <w:rsid w:val="00E04385"/>
    <w:rsid w:val="00E05C55"/>
    <w:rsid w:val="00E15CC8"/>
    <w:rsid w:val="00E15F74"/>
    <w:rsid w:val="00E167FE"/>
    <w:rsid w:val="00E16945"/>
    <w:rsid w:val="00E20C72"/>
    <w:rsid w:val="00E24692"/>
    <w:rsid w:val="00E36F4C"/>
    <w:rsid w:val="00E378C9"/>
    <w:rsid w:val="00E45E4A"/>
    <w:rsid w:val="00E46532"/>
    <w:rsid w:val="00E50BAB"/>
    <w:rsid w:val="00E51745"/>
    <w:rsid w:val="00E52D2D"/>
    <w:rsid w:val="00E563E5"/>
    <w:rsid w:val="00E570D4"/>
    <w:rsid w:val="00E63324"/>
    <w:rsid w:val="00E75D9F"/>
    <w:rsid w:val="00E80B52"/>
    <w:rsid w:val="00E82551"/>
    <w:rsid w:val="00E828D5"/>
    <w:rsid w:val="00E9139E"/>
    <w:rsid w:val="00E92A3F"/>
    <w:rsid w:val="00E93515"/>
    <w:rsid w:val="00EA267D"/>
    <w:rsid w:val="00EA4AB7"/>
    <w:rsid w:val="00EA519D"/>
    <w:rsid w:val="00EB0CF8"/>
    <w:rsid w:val="00EB6539"/>
    <w:rsid w:val="00EB7722"/>
    <w:rsid w:val="00EC0EE7"/>
    <w:rsid w:val="00EC406B"/>
    <w:rsid w:val="00ED60E0"/>
    <w:rsid w:val="00ED67ED"/>
    <w:rsid w:val="00ED6FFE"/>
    <w:rsid w:val="00ED728B"/>
    <w:rsid w:val="00ED7461"/>
    <w:rsid w:val="00EE12C9"/>
    <w:rsid w:val="00EE4BAC"/>
    <w:rsid w:val="00EE5E06"/>
    <w:rsid w:val="00EE6C0D"/>
    <w:rsid w:val="00F036EA"/>
    <w:rsid w:val="00F04542"/>
    <w:rsid w:val="00F04E86"/>
    <w:rsid w:val="00F132AE"/>
    <w:rsid w:val="00F24D3E"/>
    <w:rsid w:val="00F27E45"/>
    <w:rsid w:val="00F3783C"/>
    <w:rsid w:val="00F418AE"/>
    <w:rsid w:val="00F46FE2"/>
    <w:rsid w:val="00F5293E"/>
    <w:rsid w:val="00F53FEF"/>
    <w:rsid w:val="00F54C38"/>
    <w:rsid w:val="00F6225B"/>
    <w:rsid w:val="00F73DBF"/>
    <w:rsid w:val="00F7549A"/>
    <w:rsid w:val="00F76F80"/>
    <w:rsid w:val="00F808A0"/>
    <w:rsid w:val="00F83519"/>
    <w:rsid w:val="00F87A05"/>
    <w:rsid w:val="00F91889"/>
    <w:rsid w:val="00F93DE0"/>
    <w:rsid w:val="00F95E37"/>
    <w:rsid w:val="00F97120"/>
    <w:rsid w:val="00FA1405"/>
    <w:rsid w:val="00FA3C67"/>
    <w:rsid w:val="00FA62B0"/>
    <w:rsid w:val="00FB156A"/>
    <w:rsid w:val="00FB5052"/>
    <w:rsid w:val="00FC1626"/>
    <w:rsid w:val="00FC37CF"/>
    <w:rsid w:val="00FC6317"/>
    <w:rsid w:val="00FD2362"/>
    <w:rsid w:val="00FD2597"/>
    <w:rsid w:val="00FD3F11"/>
    <w:rsid w:val="00FD478B"/>
    <w:rsid w:val="00FD5901"/>
    <w:rsid w:val="00FE6395"/>
    <w:rsid w:val="00FF370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1AB8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1F3"/>
    <w:pPr>
      <w:spacing w:after="200" w:line="276" w:lineRule="auto"/>
    </w:pPr>
    <w:rPr>
      <w:rFonts w:ascii="BentonSans Book" w:eastAsia="Calibri" w:hAnsi="BentonSans Book" w:cs="Times New Roman"/>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C671F3"/>
    <w:rPr>
      <w:rFonts w:cs="Times New Roman"/>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671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71F3"/>
    <w:pPr>
      <w:ind w:left="720"/>
      <w:contextualSpacing/>
    </w:pPr>
  </w:style>
  <w:style w:type="character" w:customStyle="1" w:styleId="normaltextrun">
    <w:name w:val="normaltextrun"/>
    <w:basedOn w:val="Fuentedeprrafopredeter"/>
    <w:rsid w:val="00C671F3"/>
  </w:style>
  <w:style w:type="paragraph" w:styleId="Piedepgina">
    <w:name w:val="footer"/>
    <w:basedOn w:val="Normal"/>
    <w:link w:val="PiedepginaCar"/>
    <w:uiPriority w:val="99"/>
    <w:unhideWhenUsed/>
    <w:rsid w:val="00BA07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7CF"/>
    <w:rPr>
      <w:rFonts w:ascii="BentonSans Book" w:eastAsia="Calibri" w:hAnsi="BentonSans Book" w:cs="Times New Roman"/>
      <w:sz w:val="22"/>
      <w:szCs w:val="22"/>
      <w:lang w:val="es-MX" w:eastAsia="en-US"/>
    </w:rPr>
  </w:style>
  <w:style w:type="character" w:styleId="Nmerodepgina">
    <w:name w:val="page number"/>
    <w:basedOn w:val="Fuentedeprrafopredeter"/>
    <w:uiPriority w:val="99"/>
    <w:semiHidden/>
    <w:unhideWhenUsed/>
    <w:rsid w:val="00BA07CF"/>
  </w:style>
  <w:style w:type="paragraph" w:styleId="Encabezado">
    <w:name w:val="header"/>
    <w:basedOn w:val="Normal"/>
    <w:link w:val="EncabezadoCar"/>
    <w:uiPriority w:val="99"/>
    <w:unhideWhenUsed/>
    <w:rsid w:val="004244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45D"/>
    <w:rPr>
      <w:rFonts w:ascii="BentonSans Book" w:eastAsia="Calibri" w:hAnsi="BentonSans Book" w:cs="Times New Roman"/>
      <w:sz w:val="22"/>
      <w:szCs w:val="22"/>
      <w:lang w:val="es-MX" w:eastAsia="en-US"/>
    </w:rPr>
  </w:style>
  <w:style w:type="paragraph" w:styleId="Textodeglobo">
    <w:name w:val="Balloon Text"/>
    <w:basedOn w:val="Normal"/>
    <w:link w:val="TextodegloboCar"/>
    <w:uiPriority w:val="99"/>
    <w:semiHidden/>
    <w:unhideWhenUsed/>
    <w:rsid w:val="0042445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445D"/>
    <w:rPr>
      <w:rFonts w:ascii="Lucida Grande" w:eastAsia="Calibri" w:hAnsi="Lucida Grande" w:cs="Lucida Grande"/>
      <w:sz w:val="18"/>
      <w:szCs w:val="18"/>
      <w:lang w:val="es-MX" w:eastAsia="en-US"/>
    </w:rPr>
  </w:style>
  <w:style w:type="paragraph" w:styleId="Sinespaciado">
    <w:name w:val="No Spacing"/>
    <w:link w:val="SinespaciadoCar"/>
    <w:uiPriority w:val="1"/>
    <w:qFormat/>
    <w:rsid w:val="00311011"/>
    <w:pPr>
      <w:spacing w:line="360" w:lineRule="auto"/>
      <w:jc w:val="both"/>
    </w:pPr>
    <w:rPr>
      <w:rFonts w:ascii="Calibri" w:eastAsia="Times New Roman" w:hAnsi="Calibri" w:cs="Times New Roman"/>
      <w:sz w:val="22"/>
      <w:szCs w:val="22"/>
      <w:lang w:val="es-ES" w:eastAsia="en-US"/>
    </w:rPr>
  </w:style>
  <w:style w:type="character" w:customStyle="1" w:styleId="SinespaciadoCar">
    <w:name w:val="Sin espaciado Car"/>
    <w:link w:val="Sinespaciado"/>
    <w:uiPriority w:val="1"/>
    <w:rsid w:val="00311011"/>
    <w:rPr>
      <w:rFonts w:ascii="Calibri" w:eastAsia="Times New Roman" w:hAnsi="Calibri" w:cs="Times New Roman"/>
      <w:sz w:val="22"/>
      <w:szCs w:val="22"/>
      <w:lang w:val="es-ES" w:eastAsia="en-US"/>
    </w:rPr>
  </w:style>
  <w:style w:type="character" w:styleId="Hipervnculo">
    <w:name w:val="Hyperlink"/>
    <w:basedOn w:val="Fuentedeprrafopredeter"/>
    <w:uiPriority w:val="99"/>
    <w:unhideWhenUsed/>
    <w:rsid w:val="001269CC"/>
    <w:rPr>
      <w:color w:val="0000FF" w:themeColor="hyperlink"/>
      <w:u w:val="single"/>
    </w:rPr>
  </w:style>
  <w:style w:type="paragraph" w:styleId="Textonotapie">
    <w:name w:val="footnote text"/>
    <w:basedOn w:val="Normal"/>
    <w:link w:val="TextonotapieCar"/>
    <w:uiPriority w:val="99"/>
    <w:unhideWhenUsed/>
    <w:rsid w:val="005F5775"/>
    <w:pPr>
      <w:spacing w:after="0" w:line="240" w:lineRule="auto"/>
    </w:pPr>
    <w:rPr>
      <w:sz w:val="20"/>
      <w:szCs w:val="20"/>
    </w:rPr>
  </w:style>
  <w:style w:type="character" w:customStyle="1" w:styleId="TextonotapieCar">
    <w:name w:val="Texto nota pie Car"/>
    <w:basedOn w:val="Fuentedeprrafopredeter"/>
    <w:link w:val="Textonotapie"/>
    <w:uiPriority w:val="99"/>
    <w:rsid w:val="005F5775"/>
    <w:rPr>
      <w:rFonts w:ascii="BentonSans Book" w:eastAsia="Calibri" w:hAnsi="BentonSans Book" w:cs="Times New Roman"/>
      <w:sz w:val="20"/>
      <w:szCs w:val="20"/>
      <w:lang w:val="es-MX" w:eastAsia="en-US"/>
    </w:rPr>
  </w:style>
  <w:style w:type="character" w:styleId="Refdenotaalpie">
    <w:name w:val="footnote reference"/>
    <w:basedOn w:val="Fuentedeprrafopredeter"/>
    <w:uiPriority w:val="99"/>
    <w:semiHidden/>
    <w:unhideWhenUsed/>
    <w:rsid w:val="005F5775"/>
    <w:rPr>
      <w:vertAlign w:val="superscript"/>
    </w:rPr>
  </w:style>
  <w:style w:type="character" w:styleId="Hipervnculovisitado">
    <w:name w:val="FollowedHyperlink"/>
    <w:basedOn w:val="Fuentedeprrafopredeter"/>
    <w:uiPriority w:val="99"/>
    <w:semiHidden/>
    <w:unhideWhenUsed/>
    <w:rsid w:val="00F418AE"/>
    <w:rPr>
      <w:color w:val="800080" w:themeColor="followedHyperlink"/>
      <w:u w:val="single"/>
    </w:rPr>
  </w:style>
  <w:style w:type="character" w:styleId="Refdecomentario">
    <w:name w:val="annotation reference"/>
    <w:basedOn w:val="Fuentedeprrafopredeter"/>
    <w:uiPriority w:val="99"/>
    <w:semiHidden/>
    <w:unhideWhenUsed/>
    <w:rsid w:val="00BE0D63"/>
    <w:rPr>
      <w:sz w:val="16"/>
      <w:szCs w:val="16"/>
    </w:rPr>
  </w:style>
  <w:style w:type="paragraph" w:styleId="Textocomentario">
    <w:name w:val="annotation text"/>
    <w:basedOn w:val="Normal"/>
    <w:link w:val="TextocomentarioCar"/>
    <w:uiPriority w:val="99"/>
    <w:semiHidden/>
    <w:unhideWhenUsed/>
    <w:rsid w:val="00BE0D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0D63"/>
    <w:rPr>
      <w:rFonts w:ascii="BentonSans Book" w:eastAsia="Calibri" w:hAnsi="BentonSans Book"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BE0D63"/>
    <w:rPr>
      <w:b/>
      <w:bCs/>
    </w:rPr>
  </w:style>
  <w:style w:type="character" w:customStyle="1" w:styleId="AsuntodelcomentarioCar">
    <w:name w:val="Asunto del comentario Car"/>
    <w:basedOn w:val="TextocomentarioCar"/>
    <w:link w:val="Asuntodelcomentario"/>
    <w:uiPriority w:val="99"/>
    <w:semiHidden/>
    <w:rsid w:val="00BE0D63"/>
    <w:rPr>
      <w:rFonts w:ascii="BentonSans Book" w:eastAsia="Calibri" w:hAnsi="BentonSans Book" w:cs="Times New Roman"/>
      <w:b/>
      <w:bCs/>
      <w:sz w:val="20"/>
      <w:szCs w:val="20"/>
      <w:lang w:val="es-MX" w:eastAsia="en-US"/>
    </w:rPr>
  </w:style>
  <w:style w:type="table" w:customStyle="1" w:styleId="Tablanormal11">
    <w:name w:val="Tabla normal 11"/>
    <w:basedOn w:val="Tablanormal"/>
    <w:uiPriority w:val="41"/>
    <w:rsid w:val="00A11CD9"/>
    <w:rPr>
      <w:rFonts w:eastAsiaTheme="minorHAnsi"/>
      <w:sz w:val="22"/>
      <w:szCs w:val="22"/>
      <w:lang w:val="es-MX"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A11CD9"/>
    <w:pPr>
      <w:autoSpaceDE w:val="0"/>
      <w:autoSpaceDN w:val="0"/>
      <w:adjustRightInd w:val="0"/>
    </w:pPr>
    <w:rPr>
      <w:rFonts w:ascii="Times New Roman" w:eastAsiaTheme="minorHAnsi" w:hAnsi="Times New Roman" w:cs="Times New Roman"/>
      <w:color w:val="00000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3895">
      <w:bodyDiv w:val="1"/>
      <w:marLeft w:val="0"/>
      <w:marRight w:val="0"/>
      <w:marTop w:val="0"/>
      <w:marBottom w:val="0"/>
      <w:divBdr>
        <w:top w:val="none" w:sz="0" w:space="0" w:color="auto"/>
        <w:left w:val="none" w:sz="0" w:space="0" w:color="auto"/>
        <w:bottom w:val="none" w:sz="0" w:space="0" w:color="auto"/>
        <w:right w:val="none" w:sz="0" w:space="0" w:color="auto"/>
      </w:divBdr>
    </w:div>
    <w:div w:id="211701316">
      <w:bodyDiv w:val="1"/>
      <w:marLeft w:val="0"/>
      <w:marRight w:val="0"/>
      <w:marTop w:val="0"/>
      <w:marBottom w:val="0"/>
      <w:divBdr>
        <w:top w:val="none" w:sz="0" w:space="0" w:color="auto"/>
        <w:left w:val="none" w:sz="0" w:space="0" w:color="auto"/>
        <w:bottom w:val="none" w:sz="0" w:space="0" w:color="auto"/>
        <w:right w:val="none" w:sz="0" w:space="0" w:color="auto"/>
      </w:divBdr>
    </w:div>
    <w:div w:id="285159290">
      <w:bodyDiv w:val="1"/>
      <w:marLeft w:val="0"/>
      <w:marRight w:val="0"/>
      <w:marTop w:val="0"/>
      <w:marBottom w:val="0"/>
      <w:divBdr>
        <w:top w:val="none" w:sz="0" w:space="0" w:color="auto"/>
        <w:left w:val="none" w:sz="0" w:space="0" w:color="auto"/>
        <w:bottom w:val="none" w:sz="0" w:space="0" w:color="auto"/>
        <w:right w:val="none" w:sz="0" w:space="0" w:color="auto"/>
      </w:divBdr>
    </w:div>
    <w:div w:id="298387455">
      <w:bodyDiv w:val="1"/>
      <w:marLeft w:val="0"/>
      <w:marRight w:val="0"/>
      <w:marTop w:val="0"/>
      <w:marBottom w:val="0"/>
      <w:divBdr>
        <w:top w:val="none" w:sz="0" w:space="0" w:color="auto"/>
        <w:left w:val="none" w:sz="0" w:space="0" w:color="auto"/>
        <w:bottom w:val="none" w:sz="0" w:space="0" w:color="auto"/>
        <w:right w:val="none" w:sz="0" w:space="0" w:color="auto"/>
      </w:divBdr>
    </w:div>
    <w:div w:id="404572829">
      <w:bodyDiv w:val="1"/>
      <w:marLeft w:val="0"/>
      <w:marRight w:val="0"/>
      <w:marTop w:val="0"/>
      <w:marBottom w:val="0"/>
      <w:divBdr>
        <w:top w:val="none" w:sz="0" w:space="0" w:color="auto"/>
        <w:left w:val="none" w:sz="0" w:space="0" w:color="auto"/>
        <w:bottom w:val="none" w:sz="0" w:space="0" w:color="auto"/>
        <w:right w:val="none" w:sz="0" w:space="0" w:color="auto"/>
      </w:divBdr>
    </w:div>
    <w:div w:id="515341626">
      <w:bodyDiv w:val="1"/>
      <w:marLeft w:val="0"/>
      <w:marRight w:val="0"/>
      <w:marTop w:val="0"/>
      <w:marBottom w:val="0"/>
      <w:divBdr>
        <w:top w:val="none" w:sz="0" w:space="0" w:color="auto"/>
        <w:left w:val="none" w:sz="0" w:space="0" w:color="auto"/>
        <w:bottom w:val="none" w:sz="0" w:space="0" w:color="auto"/>
        <w:right w:val="none" w:sz="0" w:space="0" w:color="auto"/>
      </w:divBdr>
    </w:div>
    <w:div w:id="583032855">
      <w:bodyDiv w:val="1"/>
      <w:marLeft w:val="0"/>
      <w:marRight w:val="0"/>
      <w:marTop w:val="0"/>
      <w:marBottom w:val="0"/>
      <w:divBdr>
        <w:top w:val="none" w:sz="0" w:space="0" w:color="auto"/>
        <w:left w:val="none" w:sz="0" w:space="0" w:color="auto"/>
        <w:bottom w:val="none" w:sz="0" w:space="0" w:color="auto"/>
        <w:right w:val="none" w:sz="0" w:space="0" w:color="auto"/>
      </w:divBdr>
    </w:div>
    <w:div w:id="676495134">
      <w:bodyDiv w:val="1"/>
      <w:marLeft w:val="0"/>
      <w:marRight w:val="0"/>
      <w:marTop w:val="0"/>
      <w:marBottom w:val="0"/>
      <w:divBdr>
        <w:top w:val="none" w:sz="0" w:space="0" w:color="auto"/>
        <w:left w:val="none" w:sz="0" w:space="0" w:color="auto"/>
        <w:bottom w:val="none" w:sz="0" w:space="0" w:color="auto"/>
        <w:right w:val="none" w:sz="0" w:space="0" w:color="auto"/>
      </w:divBdr>
    </w:div>
    <w:div w:id="735738182">
      <w:bodyDiv w:val="1"/>
      <w:marLeft w:val="0"/>
      <w:marRight w:val="0"/>
      <w:marTop w:val="0"/>
      <w:marBottom w:val="0"/>
      <w:divBdr>
        <w:top w:val="none" w:sz="0" w:space="0" w:color="auto"/>
        <w:left w:val="none" w:sz="0" w:space="0" w:color="auto"/>
        <w:bottom w:val="none" w:sz="0" w:space="0" w:color="auto"/>
        <w:right w:val="none" w:sz="0" w:space="0" w:color="auto"/>
      </w:divBdr>
    </w:div>
    <w:div w:id="1015615354">
      <w:bodyDiv w:val="1"/>
      <w:marLeft w:val="0"/>
      <w:marRight w:val="0"/>
      <w:marTop w:val="0"/>
      <w:marBottom w:val="0"/>
      <w:divBdr>
        <w:top w:val="none" w:sz="0" w:space="0" w:color="auto"/>
        <w:left w:val="none" w:sz="0" w:space="0" w:color="auto"/>
        <w:bottom w:val="none" w:sz="0" w:space="0" w:color="auto"/>
        <w:right w:val="none" w:sz="0" w:space="0" w:color="auto"/>
      </w:divBdr>
    </w:div>
    <w:div w:id="1074544882">
      <w:bodyDiv w:val="1"/>
      <w:marLeft w:val="0"/>
      <w:marRight w:val="0"/>
      <w:marTop w:val="0"/>
      <w:marBottom w:val="0"/>
      <w:divBdr>
        <w:top w:val="none" w:sz="0" w:space="0" w:color="auto"/>
        <w:left w:val="none" w:sz="0" w:space="0" w:color="auto"/>
        <w:bottom w:val="none" w:sz="0" w:space="0" w:color="auto"/>
        <w:right w:val="none" w:sz="0" w:space="0" w:color="auto"/>
      </w:divBdr>
    </w:div>
    <w:div w:id="1200705561">
      <w:bodyDiv w:val="1"/>
      <w:marLeft w:val="0"/>
      <w:marRight w:val="0"/>
      <w:marTop w:val="0"/>
      <w:marBottom w:val="0"/>
      <w:divBdr>
        <w:top w:val="none" w:sz="0" w:space="0" w:color="auto"/>
        <w:left w:val="none" w:sz="0" w:space="0" w:color="auto"/>
        <w:bottom w:val="none" w:sz="0" w:space="0" w:color="auto"/>
        <w:right w:val="none" w:sz="0" w:space="0" w:color="auto"/>
      </w:divBdr>
    </w:div>
    <w:div w:id="1217355753">
      <w:bodyDiv w:val="1"/>
      <w:marLeft w:val="0"/>
      <w:marRight w:val="0"/>
      <w:marTop w:val="0"/>
      <w:marBottom w:val="0"/>
      <w:divBdr>
        <w:top w:val="none" w:sz="0" w:space="0" w:color="auto"/>
        <w:left w:val="none" w:sz="0" w:space="0" w:color="auto"/>
        <w:bottom w:val="none" w:sz="0" w:space="0" w:color="auto"/>
        <w:right w:val="none" w:sz="0" w:space="0" w:color="auto"/>
      </w:divBdr>
    </w:div>
    <w:div w:id="1586766268">
      <w:bodyDiv w:val="1"/>
      <w:marLeft w:val="0"/>
      <w:marRight w:val="0"/>
      <w:marTop w:val="0"/>
      <w:marBottom w:val="0"/>
      <w:divBdr>
        <w:top w:val="none" w:sz="0" w:space="0" w:color="auto"/>
        <w:left w:val="none" w:sz="0" w:space="0" w:color="auto"/>
        <w:bottom w:val="none" w:sz="0" w:space="0" w:color="auto"/>
        <w:right w:val="none" w:sz="0" w:space="0" w:color="auto"/>
      </w:divBdr>
    </w:div>
    <w:div w:id="1633361690">
      <w:bodyDiv w:val="1"/>
      <w:marLeft w:val="0"/>
      <w:marRight w:val="0"/>
      <w:marTop w:val="0"/>
      <w:marBottom w:val="0"/>
      <w:divBdr>
        <w:top w:val="none" w:sz="0" w:space="0" w:color="auto"/>
        <w:left w:val="none" w:sz="0" w:space="0" w:color="auto"/>
        <w:bottom w:val="none" w:sz="0" w:space="0" w:color="auto"/>
        <w:right w:val="none" w:sz="0" w:space="0" w:color="auto"/>
      </w:divBdr>
    </w:div>
    <w:div w:id="1735473494">
      <w:bodyDiv w:val="1"/>
      <w:marLeft w:val="0"/>
      <w:marRight w:val="0"/>
      <w:marTop w:val="0"/>
      <w:marBottom w:val="0"/>
      <w:divBdr>
        <w:top w:val="none" w:sz="0" w:space="0" w:color="auto"/>
        <w:left w:val="none" w:sz="0" w:space="0" w:color="auto"/>
        <w:bottom w:val="none" w:sz="0" w:space="0" w:color="auto"/>
        <w:right w:val="none" w:sz="0" w:space="0" w:color="auto"/>
      </w:divBdr>
    </w:div>
    <w:div w:id="1916355313">
      <w:bodyDiv w:val="1"/>
      <w:marLeft w:val="0"/>
      <w:marRight w:val="0"/>
      <w:marTop w:val="0"/>
      <w:marBottom w:val="0"/>
      <w:divBdr>
        <w:top w:val="none" w:sz="0" w:space="0" w:color="auto"/>
        <w:left w:val="none" w:sz="0" w:space="0" w:color="auto"/>
        <w:bottom w:val="none" w:sz="0" w:space="0" w:color="auto"/>
        <w:right w:val="none" w:sz="0" w:space="0" w:color="auto"/>
      </w:divBdr>
    </w:div>
    <w:div w:id="2020889785">
      <w:bodyDiv w:val="1"/>
      <w:marLeft w:val="0"/>
      <w:marRight w:val="0"/>
      <w:marTop w:val="0"/>
      <w:marBottom w:val="0"/>
      <w:divBdr>
        <w:top w:val="none" w:sz="0" w:space="0" w:color="auto"/>
        <w:left w:val="none" w:sz="0" w:space="0" w:color="auto"/>
        <w:bottom w:val="none" w:sz="0" w:space="0" w:color="auto"/>
        <w:right w:val="none" w:sz="0" w:space="0" w:color="auto"/>
      </w:divBdr>
    </w:div>
    <w:div w:id="2070105026">
      <w:bodyDiv w:val="1"/>
      <w:marLeft w:val="0"/>
      <w:marRight w:val="0"/>
      <w:marTop w:val="0"/>
      <w:marBottom w:val="0"/>
      <w:divBdr>
        <w:top w:val="none" w:sz="0" w:space="0" w:color="auto"/>
        <w:left w:val="none" w:sz="0" w:space="0" w:color="auto"/>
        <w:bottom w:val="none" w:sz="0" w:space="0" w:color="auto"/>
        <w:right w:val="none" w:sz="0" w:space="0" w:color="auto"/>
      </w:divBdr>
    </w:div>
    <w:div w:id="2092581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partados.hacienda.gob.mx/presupuesto/temas/pef/2013/index.html" TargetMode="External"/><Relationship Id="rId21" Type="http://schemas.openxmlformats.org/officeDocument/2006/relationships/hyperlink" Target="http://www.yucatan.gob.mx/transparencia/evaluacion_desempeno.php" TargetMode="External"/><Relationship Id="rId22" Type="http://schemas.openxmlformats.org/officeDocument/2006/relationships/hyperlink" Target="http://www.inea.gob.mx/transparencia/pdf/Estimacion_rezago_2013.pdf" TargetMode="External"/><Relationship Id="rId23" Type="http://schemas.openxmlformats.org/officeDocument/2006/relationships/hyperlink" Target="http://www.inea.gob.mx/transparencia/pdf/Estimacion_rezago_2014.pdf" TargetMode="External"/><Relationship Id="rId24" Type="http://schemas.openxmlformats.org/officeDocument/2006/relationships/hyperlink" Target="http://www.inea.gob.mx/transparencia/pdf/Metodologia_rezago_educativo_act_2015.pdf" TargetMode="External"/><Relationship Id="rId25" Type="http://schemas.openxmlformats.org/officeDocument/2006/relationships/hyperlink" Target="http://dof.gob.mx/nota_detalle.php?codigo=5327835&amp;fecha=24/12/2013" TargetMode="External"/><Relationship Id="rId26" Type="http://schemas.openxmlformats.org/officeDocument/2006/relationships/hyperlink" Target="http://www.hacienda.gob.mx/POLITICAFINANCIERA/FINANZASPUBLICAS/ITSSEFPDP/14/Paginas/1er_Trimestre_2014.aspx" TargetMode="External"/><Relationship Id="rId27" Type="http://schemas.openxmlformats.org/officeDocument/2006/relationships/hyperlink" Target="http://www.inee.edu.mx/tei/search.jsp?query=gasto&amp;fromresult=220" TargetMode="External"/><Relationship Id="rId28" Type="http://schemas.openxmlformats.org/officeDocument/2006/relationships/hyperlink" Target="http://www.hacienda.gob.mx/POLITICAFINANCIERA/FINANZASPUBLICAS/ITSSEFPDP/14/Paginas/1er_Trimestre_2014.aspx"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2.gi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hyperlink" Target="http://www.inea.gob.mx/transparencia/pdf/Estimacion_rezago_2013.pdf" TargetMode="External"/><Relationship Id="rId12" Type="http://schemas.openxmlformats.org/officeDocument/2006/relationships/hyperlink" Target="http://www.inea.gob.mx/transparencia/pdf/Estimacion_rezago_2014.pdf" TargetMode="External"/><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hyperlink" Target="http://www.dof.gob.mx/nota_detalle_popup.php?codigo=5326569" TargetMode="External"/><Relationship Id="rId18" Type="http://schemas.openxmlformats.org/officeDocument/2006/relationships/hyperlink" Target="http://dof.gob.mx/nota_detalle.php?codigo=5297066&amp;fecha=25/04/2013" TargetMode="External"/><Relationship Id="rId19" Type="http://schemas.openxmlformats.org/officeDocument/2006/relationships/hyperlink" Target="http://www.apartados.hacienda.gob.mx/presupuesto/temas/pef/2014/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ea.gob.mx/transparencia/pdf/Metodologia_rezago_educativo_act_2015.pdf" TargetMode="External"/><Relationship Id="rId2" Type="http://schemas.openxmlformats.org/officeDocument/2006/relationships/hyperlink" Target="http://www.yucatan.gob.mx/docs/orden_juridico/Yucatan/Decretos/nr265rf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20.gif"/><Relationship Id="rId3"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esktop\FAETA%20Yucatan%20PAE%202015&#61480;\IEAEY\TABLAS%20EVAL%20IEAEY%20EJ%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MX" sz="1200"/>
              <a:t>Grafico</a:t>
            </a:r>
            <a:r>
              <a:rPr lang="es-MX" sz="1200" baseline="0"/>
              <a:t> No. 1 Población en Rezago Educativo en el estado de Yucatán</a:t>
            </a:r>
            <a:endParaRPr lang="es-MX" sz="12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'POBLACIÓN BENEFICIARIA'!$B$24</c:f>
              <c:strCache>
                <c:ptCount val="1"/>
                <c:pt idx="0">
                  <c:v>HOMBRES</c:v>
                </c:pt>
              </c:strCache>
            </c:strRef>
          </c:tx>
          <c:invertIfNegative val="0"/>
          <c:cat>
            <c:strRef>
              <c:f>'POBLACIÓN BENEFICIARIA'!$A$25:$A$27</c:f>
              <c:strCache>
                <c:ptCount val="3"/>
                <c:pt idx="0">
                  <c:v>Analfabetas</c:v>
                </c:pt>
                <c:pt idx="1">
                  <c:v>Sin primaria terminada</c:v>
                </c:pt>
                <c:pt idx="2">
                  <c:v>Sin secundaria terminada</c:v>
                </c:pt>
              </c:strCache>
            </c:strRef>
          </c:cat>
          <c:val>
            <c:numRef>
              <c:f>'POBLACIÓN BENEFICIARIA'!$B$25:$B$27</c:f>
              <c:numCache>
                <c:formatCode>#,##0</c:formatCode>
                <c:ptCount val="3"/>
                <c:pt idx="0">
                  <c:v>53338.0</c:v>
                </c:pt>
                <c:pt idx="1">
                  <c:v>110387.0</c:v>
                </c:pt>
                <c:pt idx="2">
                  <c:v>128043.0</c:v>
                </c:pt>
              </c:numCache>
            </c:numRef>
          </c:val>
        </c:ser>
        <c:ser>
          <c:idx val="1"/>
          <c:order val="1"/>
          <c:tx>
            <c:strRef>
              <c:f>'POBLACIÓN BENEFICIARIA'!$C$24</c:f>
              <c:strCache>
                <c:ptCount val="1"/>
                <c:pt idx="0">
                  <c:v>MUJERES</c:v>
                </c:pt>
              </c:strCache>
            </c:strRef>
          </c:tx>
          <c:invertIfNegative val="0"/>
          <c:cat>
            <c:strRef>
              <c:f>'POBLACIÓN BENEFICIARIA'!$A$25:$A$27</c:f>
              <c:strCache>
                <c:ptCount val="3"/>
                <c:pt idx="0">
                  <c:v>Analfabetas</c:v>
                </c:pt>
                <c:pt idx="1">
                  <c:v>Sin primaria terminada</c:v>
                </c:pt>
                <c:pt idx="2">
                  <c:v>Sin secundaria terminada</c:v>
                </c:pt>
              </c:strCache>
            </c:strRef>
          </c:cat>
          <c:val>
            <c:numRef>
              <c:f>'POBLACIÓN BENEFICIARIA'!$C$25:$C$27</c:f>
              <c:numCache>
                <c:formatCode>#,##0</c:formatCode>
                <c:ptCount val="3"/>
                <c:pt idx="0">
                  <c:v>76668.0</c:v>
                </c:pt>
                <c:pt idx="1">
                  <c:v>114304.0</c:v>
                </c:pt>
                <c:pt idx="2">
                  <c:v>140986.0</c:v>
                </c:pt>
              </c:numCache>
            </c:numRef>
          </c:val>
        </c:ser>
        <c:dLbls>
          <c:showLegendKey val="0"/>
          <c:showVal val="0"/>
          <c:showCatName val="0"/>
          <c:showSerName val="0"/>
          <c:showPercent val="0"/>
          <c:showBubbleSize val="0"/>
        </c:dLbls>
        <c:gapWidth val="55"/>
        <c:gapDepth val="55"/>
        <c:shape val="cylinder"/>
        <c:axId val="-2061739760"/>
        <c:axId val="-2015382256"/>
        <c:axId val="0"/>
      </c:bar3DChart>
      <c:catAx>
        <c:axId val="-2061739760"/>
        <c:scaling>
          <c:orientation val="minMax"/>
        </c:scaling>
        <c:delete val="0"/>
        <c:axPos val="b"/>
        <c:numFmt formatCode="General" sourceLinked="0"/>
        <c:majorTickMark val="none"/>
        <c:minorTickMark val="none"/>
        <c:tickLblPos val="nextTo"/>
        <c:crossAx val="-2015382256"/>
        <c:crosses val="autoZero"/>
        <c:auto val="1"/>
        <c:lblAlgn val="ctr"/>
        <c:lblOffset val="100"/>
        <c:noMultiLvlLbl val="0"/>
      </c:catAx>
      <c:valAx>
        <c:axId val="-2015382256"/>
        <c:scaling>
          <c:orientation val="minMax"/>
        </c:scaling>
        <c:delete val="0"/>
        <c:axPos val="l"/>
        <c:majorGridlines/>
        <c:numFmt formatCode="#,##0" sourceLinked="1"/>
        <c:majorTickMark val="none"/>
        <c:minorTickMark val="none"/>
        <c:tickLblPos val="nextTo"/>
        <c:crossAx val="-20617397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FC8F1-B813-F84B-A5B2-24F29BD2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84</Pages>
  <Words>15647</Words>
  <Characters>86059</Characters>
  <Application>Microsoft Macintosh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Jesús Guízar</Company>
  <LinksUpToDate>false</LinksUpToDate>
  <CharactersWithSpaces>101503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Guízar</dc:creator>
  <cp:lastModifiedBy>Jose de Jesus Guizar Jimenez</cp:lastModifiedBy>
  <cp:revision>10</cp:revision>
  <cp:lastPrinted>2016-03-02T21:07:00Z</cp:lastPrinted>
  <dcterms:created xsi:type="dcterms:W3CDTF">2016-03-02T16:22:00Z</dcterms:created>
  <dcterms:modified xsi:type="dcterms:W3CDTF">2016-03-04T20:30:00Z</dcterms:modified>
</cp:coreProperties>
</file>